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33" w:rsidRDefault="0059460C" w:rsidP="00F95264">
      <w:pPr>
        <w:jc w:val="center"/>
        <w:rPr>
          <w:sz w:val="32"/>
          <w:szCs w:val="32"/>
        </w:rPr>
      </w:pPr>
      <w:r w:rsidRPr="00517F00">
        <w:rPr>
          <w:noProof/>
          <w:lang w:eastAsia="en-GB"/>
        </w:rPr>
        <w:drawing>
          <wp:anchor distT="0" distB="0" distL="114300" distR="114300" simplePos="0" relativeHeight="251658240" behindDoc="1" locked="0" layoutInCell="1" allowOverlap="1">
            <wp:simplePos x="0" y="0"/>
            <wp:positionH relativeFrom="column">
              <wp:posOffset>8543925</wp:posOffset>
            </wp:positionH>
            <wp:positionV relativeFrom="paragraph">
              <wp:posOffset>0</wp:posOffset>
            </wp:positionV>
            <wp:extent cx="790575" cy="790575"/>
            <wp:effectExtent l="0" t="0" r="9525" b="9525"/>
            <wp:wrapTight wrapText="bothSides">
              <wp:wrapPolygon edited="0">
                <wp:start x="0" y="0"/>
                <wp:lineTo x="0" y="21340"/>
                <wp:lineTo x="21340" y="21340"/>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264">
        <w:rPr>
          <w:sz w:val="32"/>
          <w:szCs w:val="32"/>
        </w:rPr>
        <w:t>COVID Catch-Up Fund Plan</w:t>
      </w:r>
    </w:p>
    <w:p w:rsidR="0059460C" w:rsidRDefault="0059460C" w:rsidP="00F95264">
      <w:pPr>
        <w:rPr>
          <w:sz w:val="28"/>
          <w:szCs w:val="28"/>
        </w:rPr>
      </w:pPr>
    </w:p>
    <w:tbl>
      <w:tblPr>
        <w:tblStyle w:val="TableGrid"/>
        <w:tblpPr w:leftFromText="180" w:rightFromText="180" w:vertAnchor="text" w:horzAnchor="margin" w:tblpY="271"/>
        <w:tblW w:w="0" w:type="auto"/>
        <w:tblLook w:val="04A0" w:firstRow="1" w:lastRow="0" w:firstColumn="1" w:lastColumn="0" w:noHBand="0" w:noVBand="1"/>
      </w:tblPr>
      <w:tblGrid>
        <w:gridCol w:w="3397"/>
        <w:gridCol w:w="1732"/>
        <w:gridCol w:w="3938"/>
        <w:gridCol w:w="1560"/>
        <w:gridCol w:w="3118"/>
        <w:gridCol w:w="1643"/>
      </w:tblGrid>
      <w:tr w:rsidR="00BF173B" w:rsidTr="00A438D2">
        <w:tc>
          <w:tcPr>
            <w:tcW w:w="15388" w:type="dxa"/>
            <w:gridSpan w:val="6"/>
            <w:shd w:val="clear" w:color="auto" w:fill="FFC000"/>
          </w:tcPr>
          <w:p w:rsidR="00BF173B" w:rsidRDefault="00BF173B" w:rsidP="00BF173B">
            <w:pPr>
              <w:rPr>
                <w:sz w:val="28"/>
                <w:szCs w:val="28"/>
              </w:rPr>
            </w:pPr>
            <w:r>
              <w:rPr>
                <w:sz w:val="28"/>
                <w:szCs w:val="28"/>
              </w:rPr>
              <w:t>Summary Information</w:t>
            </w:r>
          </w:p>
        </w:tc>
      </w:tr>
      <w:tr w:rsidR="00BF173B" w:rsidTr="00BF173B">
        <w:tc>
          <w:tcPr>
            <w:tcW w:w="3397" w:type="dxa"/>
          </w:tcPr>
          <w:p w:rsidR="00BF173B" w:rsidRDefault="00BF173B" w:rsidP="00BF173B">
            <w:pPr>
              <w:rPr>
                <w:sz w:val="28"/>
                <w:szCs w:val="28"/>
              </w:rPr>
            </w:pPr>
            <w:r>
              <w:rPr>
                <w:sz w:val="28"/>
                <w:szCs w:val="28"/>
              </w:rPr>
              <w:t>School</w:t>
            </w:r>
          </w:p>
        </w:tc>
        <w:tc>
          <w:tcPr>
            <w:tcW w:w="11991" w:type="dxa"/>
            <w:gridSpan w:val="5"/>
          </w:tcPr>
          <w:p w:rsidR="00BF173B" w:rsidRPr="00D8360B" w:rsidRDefault="00BF173B" w:rsidP="00BF173B">
            <w:pPr>
              <w:rPr>
                <w:sz w:val="24"/>
                <w:szCs w:val="24"/>
              </w:rPr>
            </w:pPr>
            <w:r w:rsidRPr="00D8360B">
              <w:rPr>
                <w:sz w:val="24"/>
                <w:szCs w:val="24"/>
              </w:rPr>
              <w:t>All Saints Upton CE Primary</w:t>
            </w:r>
          </w:p>
        </w:tc>
      </w:tr>
      <w:tr w:rsidR="00BF173B" w:rsidTr="00BF173B">
        <w:tc>
          <w:tcPr>
            <w:tcW w:w="3397" w:type="dxa"/>
          </w:tcPr>
          <w:p w:rsidR="00BF173B" w:rsidRDefault="00BF173B" w:rsidP="00BF173B">
            <w:pPr>
              <w:rPr>
                <w:sz w:val="28"/>
                <w:szCs w:val="28"/>
              </w:rPr>
            </w:pPr>
            <w:r>
              <w:rPr>
                <w:sz w:val="28"/>
                <w:szCs w:val="28"/>
              </w:rPr>
              <w:t xml:space="preserve">Academic Year </w:t>
            </w:r>
          </w:p>
        </w:tc>
        <w:tc>
          <w:tcPr>
            <w:tcW w:w="1732" w:type="dxa"/>
          </w:tcPr>
          <w:p w:rsidR="00BF173B" w:rsidRPr="00D8360B" w:rsidRDefault="00BF173B" w:rsidP="00BF173B">
            <w:pPr>
              <w:rPr>
                <w:sz w:val="24"/>
                <w:szCs w:val="24"/>
              </w:rPr>
            </w:pPr>
            <w:r w:rsidRPr="00D8360B">
              <w:rPr>
                <w:sz w:val="24"/>
                <w:szCs w:val="24"/>
              </w:rPr>
              <w:t>2020-2021</w:t>
            </w:r>
          </w:p>
        </w:tc>
        <w:tc>
          <w:tcPr>
            <w:tcW w:w="3938" w:type="dxa"/>
          </w:tcPr>
          <w:p w:rsidR="00BF173B" w:rsidRDefault="00BF173B" w:rsidP="00BF173B">
            <w:pPr>
              <w:rPr>
                <w:sz w:val="28"/>
                <w:szCs w:val="28"/>
              </w:rPr>
            </w:pPr>
            <w:r>
              <w:rPr>
                <w:sz w:val="28"/>
                <w:szCs w:val="28"/>
              </w:rPr>
              <w:t>Total Catch-up premium</w:t>
            </w:r>
          </w:p>
        </w:tc>
        <w:tc>
          <w:tcPr>
            <w:tcW w:w="1560" w:type="dxa"/>
          </w:tcPr>
          <w:p w:rsidR="00BF173B" w:rsidRPr="00D8360B" w:rsidRDefault="00BF173B" w:rsidP="00BF173B">
            <w:pPr>
              <w:rPr>
                <w:sz w:val="24"/>
                <w:szCs w:val="24"/>
              </w:rPr>
            </w:pPr>
            <w:r w:rsidRPr="00D8360B">
              <w:rPr>
                <w:sz w:val="24"/>
                <w:szCs w:val="24"/>
              </w:rPr>
              <w:t>£16480</w:t>
            </w:r>
          </w:p>
        </w:tc>
        <w:tc>
          <w:tcPr>
            <w:tcW w:w="3118" w:type="dxa"/>
          </w:tcPr>
          <w:p w:rsidR="00BF173B" w:rsidRDefault="00BF173B" w:rsidP="00BF173B">
            <w:pPr>
              <w:rPr>
                <w:sz w:val="28"/>
                <w:szCs w:val="28"/>
              </w:rPr>
            </w:pPr>
            <w:r>
              <w:rPr>
                <w:sz w:val="28"/>
                <w:szCs w:val="28"/>
              </w:rPr>
              <w:t>Number of Pupils</w:t>
            </w:r>
          </w:p>
        </w:tc>
        <w:tc>
          <w:tcPr>
            <w:tcW w:w="1643" w:type="dxa"/>
          </w:tcPr>
          <w:p w:rsidR="00BF173B" w:rsidRPr="00D8360B" w:rsidRDefault="00BF173B" w:rsidP="00BF173B">
            <w:pPr>
              <w:rPr>
                <w:sz w:val="24"/>
                <w:szCs w:val="24"/>
              </w:rPr>
            </w:pPr>
            <w:r w:rsidRPr="00D8360B">
              <w:rPr>
                <w:sz w:val="24"/>
                <w:szCs w:val="24"/>
              </w:rPr>
              <w:t>201</w:t>
            </w:r>
          </w:p>
        </w:tc>
      </w:tr>
    </w:tbl>
    <w:p w:rsidR="0059460C" w:rsidRDefault="0059460C" w:rsidP="00F95264">
      <w:pPr>
        <w:rPr>
          <w:sz w:val="28"/>
          <w:szCs w:val="28"/>
        </w:rPr>
      </w:pPr>
    </w:p>
    <w:tbl>
      <w:tblPr>
        <w:tblStyle w:val="TableGrid"/>
        <w:tblW w:w="0" w:type="auto"/>
        <w:tblLook w:val="04A0" w:firstRow="1" w:lastRow="0" w:firstColumn="1" w:lastColumn="0" w:noHBand="0" w:noVBand="1"/>
      </w:tblPr>
      <w:tblGrid>
        <w:gridCol w:w="2263"/>
        <w:gridCol w:w="5431"/>
        <w:gridCol w:w="7694"/>
      </w:tblGrid>
      <w:tr w:rsidR="0059460C" w:rsidTr="00A438D2">
        <w:tc>
          <w:tcPr>
            <w:tcW w:w="15388" w:type="dxa"/>
            <w:gridSpan w:val="3"/>
            <w:shd w:val="clear" w:color="auto" w:fill="FFC000"/>
          </w:tcPr>
          <w:p w:rsidR="0059460C" w:rsidRDefault="0059460C" w:rsidP="00F95264">
            <w:pPr>
              <w:rPr>
                <w:sz w:val="28"/>
                <w:szCs w:val="28"/>
              </w:rPr>
            </w:pPr>
            <w:r>
              <w:rPr>
                <w:sz w:val="28"/>
                <w:szCs w:val="28"/>
              </w:rPr>
              <w:t>Guidance</w:t>
            </w:r>
          </w:p>
        </w:tc>
      </w:tr>
      <w:tr w:rsidR="0059460C" w:rsidTr="0059460C">
        <w:tc>
          <w:tcPr>
            <w:tcW w:w="15388" w:type="dxa"/>
            <w:gridSpan w:val="3"/>
          </w:tcPr>
          <w:p w:rsidR="0059460C" w:rsidRDefault="0059460C" w:rsidP="00F95264">
            <w:pPr>
              <w:rPr>
                <w:sz w:val="24"/>
                <w:szCs w:val="24"/>
              </w:rPr>
            </w:pPr>
            <w:r>
              <w:rPr>
                <w:sz w:val="24"/>
                <w:szCs w:val="24"/>
              </w:rPr>
              <w:t xml:space="preserve">Children and young people across the country have experienced unprecedented disruption to their education as a result of Coronavirus (COVID19). Those from the most vulnerable and disadvantaged backgrounds will be among those hardest hit. The aggregate impact of lost time </w:t>
            </w:r>
            <w:r w:rsidR="00D8360B">
              <w:rPr>
                <w:sz w:val="24"/>
                <w:szCs w:val="24"/>
              </w:rPr>
              <w:t>in education will be substantial, and the scale of our</w:t>
            </w:r>
            <w:r>
              <w:rPr>
                <w:sz w:val="24"/>
                <w:szCs w:val="24"/>
              </w:rPr>
              <w:t xml:space="preserve"> response must match the scale of the challenge.</w:t>
            </w:r>
          </w:p>
          <w:p w:rsidR="0059460C" w:rsidRDefault="0059460C" w:rsidP="00F95264">
            <w:pPr>
              <w:rPr>
                <w:sz w:val="24"/>
                <w:szCs w:val="24"/>
              </w:rPr>
            </w:pPr>
            <w:r>
              <w:rPr>
                <w:sz w:val="24"/>
                <w:szCs w:val="24"/>
              </w:rPr>
              <w:t>Schoo</w:t>
            </w:r>
            <w:r w:rsidR="00D8360B">
              <w:rPr>
                <w:sz w:val="24"/>
                <w:szCs w:val="24"/>
              </w:rPr>
              <w:t>ls allocations will be calculat</w:t>
            </w:r>
            <w:r>
              <w:rPr>
                <w:sz w:val="24"/>
                <w:szCs w:val="24"/>
              </w:rPr>
              <w:t>ed on a per pupil basis, providing each mainstream school with a total of £</w:t>
            </w:r>
            <w:r w:rsidR="00D8360B">
              <w:rPr>
                <w:sz w:val="24"/>
                <w:szCs w:val="24"/>
              </w:rPr>
              <w:t>80 for each pupil in years Recep</w:t>
            </w:r>
            <w:r>
              <w:rPr>
                <w:sz w:val="24"/>
                <w:szCs w:val="24"/>
              </w:rPr>
              <w:t>tion to 6.</w:t>
            </w:r>
          </w:p>
          <w:p w:rsidR="0059460C" w:rsidRPr="0059460C" w:rsidRDefault="0059460C" w:rsidP="00F95264">
            <w:pPr>
              <w:rPr>
                <w:sz w:val="24"/>
                <w:szCs w:val="24"/>
              </w:rPr>
            </w:pPr>
            <w:r>
              <w:rPr>
                <w:sz w:val="24"/>
                <w:szCs w:val="24"/>
              </w:rPr>
              <w:t>As the catch-up premium has been designed to mitigate the effects of the unique disruption caused by coronavirus (COVID19), the grant will only be available for the 2020-2021 academic year. It will not be added to schools baselines in calculating future years funding allocations.</w:t>
            </w:r>
          </w:p>
        </w:tc>
      </w:tr>
      <w:tr w:rsidR="00D8360B" w:rsidTr="00A438D2">
        <w:tc>
          <w:tcPr>
            <w:tcW w:w="7694" w:type="dxa"/>
            <w:gridSpan w:val="2"/>
            <w:shd w:val="clear" w:color="auto" w:fill="FFC000"/>
          </w:tcPr>
          <w:p w:rsidR="00D8360B" w:rsidRDefault="00D8360B" w:rsidP="00F95264">
            <w:pPr>
              <w:rPr>
                <w:sz w:val="28"/>
                <w:szCs w:val="28"/>
              </w:rPr>
            </w:pPr>
            <w:r>
              <w:rPr>
                <w:sz w:val="28"/>
                <w:szCs w:val="28"/>
              </w:rPr>
              <w:t>Use of Funds</w:t>
            </w:r>
          </w:p>
        </w:tc>
        <w:tc>
          <w:tcPr>
            <w:tcW w:w="7694" w:type="dxa"/>
            <w:shd w:val="clear" w:color="auto" w:fill="FFC000"/>
          </w:tcPr>
          <w:p w:rsidR="00D8360B" w:rsidRDefault="00D8360B" w:rsidP="00F95264">
            <w:pPr>
              <w:rPr>
                <w:sz w:val="28"/>
                <w:szCs w:val="28"/>
              </w:rPr>
            </w:pPr>
            <w:r>
              <w:rPr>
                <w:sz w:val="28"/>
                <w:szCs w:val="28"/>
              </w:rPr>
              <w:t>EEF Recommendations</w:t>
            </w:r>
          </w:p>
        </w:tc>
      </w:tr>
      <w:tr w:rsidR="00D8360B" w:rsidTr="00AE58A6">
        <w:tc>
          <w:tcPr>
            <w:tcW w:w="7694" w:type="dxa"/>
            <w:gridSpan w:val="2"/>
          </w:tcPr>
          <w:p w:rsidR="00D8360B" w:rsidRDefault="00D8360B" w:rsidP="00F95264">
            <w:pPr>
              <w:rPr>
                <w:sz w:val="24"/>
                <w:szCs w:val="24"/>
              </w:rPr>
            </w:pPr>
            <w:r>
              <w:rPr>
                <w:sz w:val="24"/>
                <w:szCs w:val="24"/>
              </w:rPr>
              <w:t xml:space="preserve">Schools should use this funding for specific activities to support their pupils to catch up for lost teaching over the previous months, in line with the guidance on curriculum expectations for the next academic year. </w:t>
            </w:r>
          </w:p>
          <w:p w:rsidR="00D8360B" w:rsidRDefault="00D8360B" w:rsidP="00F95264">
            <w:pPr>
              <w:rPr>
                <w:sz w:val="24"/>
                <w:szCs w:val="24"/>
              </w:rPr>
            </w:pPr>
          </w:p>
          <w:p w:rsidR="00D8360B" w:rsidRDefault="00D8360B" w:rsidP="00F95264">
            <w:pPr>
              <w:rPr>
                <w:sz w:val="24"/>
                <w:szCs w:val="24"/>
              </w:rPr>
            </w:pPr>
            <w:r>
              <w:rPr>
                <w:sz w:val="24"/>
                <w:szCs w:val="24"/>
              </w:rPr>
              <w:t>Schools have the flexibility to spend their funding in the best way for their cohort and circumstances.</w:t>
            </w:r>
          </w:p>
          <w:p w:rsidR="00D8360B" w:rsidRDefault="00D8360B" w:rsidP="00F95264">
            <w:pPr>
              <w:rPr>
                <w:sz w:val="24"/>
                <w:szCs w:val="24"/>
              </w:rPr>
            </w:pPr>
          </w:p>
          <w:p w:rsidR="00D8360B" w:rsidRPr="00D8360B" w:rsidRDefault="00D8360B" w:rsidP="00F95264">
            <w:pPr>
              <w:rPr>
                <w:sz w:val="24"/>
                <w:szCs w:val="24"/>
              </w:rPr>
            </w:pPr>
            <w:r>
              <w:rPr>
                <w:sz w:val="24"/>
                <w:szCs w:val="24"/>
              </w:rPr>
              <w:t>To support schools to make the best use of this funding, the Education Endowment Foundation (EEF) has published a coronavirus (COVID19) support guidance for schools with evidence based approaches to catch up for all students. Schools should use this document to help them direct their additional funding in the most effective way.</w:t>
            </w:r>
          </w:p>
        </w:tc>
        <w:tc>
          <w:tcPr>
            <w:tcW w:w="7694" w:type="dxa"/>
          </w:tcPr>
          <w:p w:rsidR="00D8360B" w:rsidRDefault="00D8360B" w:rsidP="00F95264">
            <w:pPr>
              <w:rPr>
                <w:sz w:val="24"/>
                <w:szCs w:val="24"/>
              </w:rPr>
            </w:pPr>
            <w:r>
              <w:rPr>
                <w:sz w:val="24"/>
                <w:szCs w:val="24"/>
              </w:rPr>
              <w:t>The EEF advises the following:</w:t>
            </w:r>
          </w:p>
          <w:p w:rsidR="00D8360B" w:rsidRDefault="00D8360B" w:rsidP="00F95264">
            <w:pPr>
              <w:rPr>
                <w:sz w:val="24"/>
                <w:szCs w:val="24"/>
              </w:rPr>
            </w:pPr>
          </w:p>
          <w:p w:rsidR="00D8360B" w:rsidRDefault="00D8360B" w:rsidP="00F95264">
            <w:pPr>
              <w:rPr>
                <w:sz w:val="24"/>
                <w:szCs w:val="24"/>
              </w:rPr>
            </w:pPr>
            <w:r>
              <w:rPr>
                <w:sz w:val="24"/>
                <w:szCs w:val="24"/>
              </w:rPr>
              <w:t>Teaching and Whole School strategies</w:t>
            </w:r>
          </w:p>
          <w:p w:rsidR="00D8360B" w:rsidRDefault="00D8360B" w:rsidP="00D8360B">
            <w:pPr>
              <w:pStyle w:val="ListParagraph"/>
              <w:numPr>
                <w:ilvl w:val="0"/>
                <w:numId w:val="1"/>
              </w:numPr>
              <w:rPr>
                <w:sz w:val="24"/>
                <w:szCs w:val="24"/>
              </w:rPr>
            </w:pPr>
            <w:r>
              <w:rPr>
                <w:sz w:val="24"/>
                <w:szCs w:val="24"/>
              </w:rPr>
              <w:t>Supporting great teaching</w:t>
            </w:r>
          </w:p>
          <w:p w:rsidR="00D8360B" w:rsidRDefault="00D8360B" w:rsidP="00D8360B">
            <w:pPr>
              <w:pStyle w:val="ListParagraph"/>
              <w:numPr>
                <w:ilvl w:val="0"/>
                <w:numId w:val="1"/>
              </w:numPr>
              <w:rPr>
                <w:sz w:val="24"/>
                <w:szCs w:val="24"/>
              </w:rPr>
            </w:pPr>
            <w:r>
              <w:rPr>
                <w:sz w:val="24"/>
                <w:szCs w:val="24"/>
              </w:rPr>
              <w:t>Pupil assessment and feedback</w:t>
            </w:r>
          </w:p>
          <w:p w:rsidR="00D8360B" w:rsidRDefault="00D8360B" w:rsidP="00D8360B">
            <w:pPr>
              <w:pStyle w:val="ListParagraph"/>
              <w:numPr>
                <w:ilvl w:val="0"/>
                <w:numId w:val="1"/>
              </w:numPr>
              <w:rPr>
                <w:sz w:val="24"/>
                <w:szCs w:val="24"/>
              </w:rPr>
            </w:pPr>
            <w:r>
              <w:rPr>
                <w:sz w:val="24"/>
                <w:szCs w:val="24"/>
              </w:rPr>
              <w:t>Transition support</w:t>
            </w:r>
          </w:p>
          <w:p w:rsidR="00D8360B" w:rsidRDefault="00D8360B" w:rsidP="00D8360B">
            <w:pPr>
              <w:rPr>
                <w:sz w:val="24"/>
                <w:szCs w:val="24"/>
              </w:rPr>
            </w:pPr>
          </w:p>
          <w:p w:rsidR="00D8360B" w:rsidRDefault="00D8360B" w:rsidP="00D8360B">
            <w:pPr>
              <w:rPr>
                <w:sz w:val="24"/>
                <w:szCs w:val="24"/>
              </w:rPr>
            </w:pPr>
            <w:r>
              <w:rPr>
                <w:sz w:val="24"/>
                <w:szCs w:val="24"/>
              </w:rPr>
              <w:t>Targeted approaches</w:t>
            </w:r>
          </w:p>
          <w:p w:rsidR="00D8360B" w:rsidRDefault="00D8360B" w:rsidP="00D8360B">
            <w:pPr>
              <w:pStyle w:val="ListParagraph"/>
              <w:numPr>
                <w:ilvl w:val="0"/>
                <w:numId w:val="2"/>
              </w:numPr>
              <w:rPr>
                <w:sz w:val="24"/>
                <w:szCs w:val="24"/>
              </w:rPr>
            </w:pPr>
            <w:r>
              <w:rPr>
                <w:sz w:val="24"/>
                <w:szCs w:val="24"/>
              </w:rPr>
              <w:t>1:1 and small group tuition</w:t>
            </w:r>
          </w:p>
          <w:p w:rsidR="00D8360B" w:rsidRDefault="00D8360B" w:rsidP="00D8360B">
            <w:pPr>
              <w:pStyle w:val="ListParagraph"/>
              <w:numPr>
                <w:ilvl w:val="0"/>
                <w:numId w:val="2"/>
              </w:numPr>
              <w:rPr>
                <w:sz w:val="24"/>
                <w:szCs w:val="24"/>
              </w:rPr>
            </w:pPr>
            <w:r>
              <w:rPr>
                <w:sz w:val="24"/>
                <w:szCs w:val="24"/>
              </w:rPr>
              <w:t>Intervention programmes</w:t>
            </w:r>
          </w:p>
          <w:p w:rsidR="00D8360B" w:rsidRPr="00E439C4" w:rsidRDefault="00E439C4" w:rsidP="00E439C4">
            <w:pPr>
              <w:pStyle w:val="ListParagraph"/>
              <w:numPr>
                <w:ilvl w:val="0"/>
                <w:numId w:val="2"/>
              </w:numPr>
              <w:rPr>
                <w:sz w:val="24"/>
                <w:szCs w:val="24"/>
              </w:rPr>
            </w:pPr>
            <w:r w:rsidRPr="00E439C4">
              <w:rPr>
                <w:sz w:val="24"/>
                <w:szCs w:val="24"/>
              </w:rPr>
              <w:t>Effective deployment of Teaching Assistants</w:t>
            </w:r>
          </w:p>
          <w:p w:rsidR="00D8360B" w:rsidRDefault="00D8360B" w:rsidP="00D8360B">
            <w:pPr>
              <w:rPr>
                <w:sz w:val="24"/>
                <w:szCs w:val="24"/>
              </w:rPr>
            </w:pPr>
            <w:r>
              <w:rPr>
                <w:sz w:val="24"/>
                <w:szCs w:val="24"/>
              </w:rPr>
              <w:t>Wider strategies</w:t>
            </w:r>
          </w:p>
          <w:p w:rsidR="00D8360B" w:rsidRDefault="00D8360B" w:rsidP="00D8360B">
            <w:pPr>
              <w:pStyle w:val="ListParagraph"/>
              <w:numPr>
                <w:ilvl w:val="0"/>
                <w:numId w:val="3"/>
              </w:numPr>
              <w:rPr>
                <w:sz w:val="24"/>
                <w:szCs w:val="24"/>
              </w:rPr>
            </w:pPr>
            <w:r>
              <w:rPr>
                <w:sz w:val="24"/>
                <w:szCs w:val="24"/>
              </w:rPr>
              <w:t>Supporting parents and carers</w:t>
            </w:r>
          </w:p>
          <w:p w:rsidR="00D8360B" w:rsidRDefault="00D8360B" w:rsidP="00D8360B">
            <w:pPr>
              <w:pStyle w:val="ListParagraph"/>
              <w:numPr>
                <w:ilvl w:val="0"/>
                <w:numId w:val="3"/>
              </w:numPr>
              <w:rPr>
                <w:sz w:val="24"/>
                <w:szCs w:val="24"/>
              </w:rPr>
            </w:pPr>
            <w:r>
              <w:rPr>
                <w:sz w:val="24"/>
                <w:szCs w:val="24"/>
              </w:rPr>
              <w:t>Access to technology</w:t>
            </w:r>
          </w:p>
          <w:p w:rsidR="00D8360B" w:rsidRPr="00D8360B" w:rsidRDefault="00D8360B" w:rsidP="00731084">
            <w:pPr>
              <w:pStyle w:val="ListParagraph"/>
              <w:rPr>
                <w:sz w:val="24"/>
                <w:szCs w:val="24"/>
              </w:rPr>
            </w:pPr>
          </w:p>
        </w:tc>
      </w:tr>
      <w:tr w:rsidR="005F6037" w:rsidTr="00A438D2">
        <w:tc>
          <w:tcPr>
            <w:tcW w:w="15388" w:type="dxa"/>
            <w:gridSpan w:val="3"/>
            <w:shd w:val="clear" w:color="auto" w:fill="FFC000"/>
          </w:tcPr>
          <w:p w:rsidR="005F6037" w:rsidRDefault="005F6037" w:rsidP="00F95264">
            <w:pPr>
              <w:rPr>
                <w:sz w:val="28"/>
                <w:szCs w:val="28"/>
              </w:rPr>
            </w:pPr>
            <w:r>
              <w:rPr>
                <w:sz w:val="28"/>
                <w:szCs w:val="28"/>
              </w:rPr>
              <w:t>Identified impact of lockdown</w:t>
            </w:r>
          </w:p>
        </w:tc>
      </w:tr>
      <w:tr w:rsidR="005F6037" w:rsidTr="005F6037">
        <w:tc>
          <w:tcPr>
            <w:tcW w:w="2263" w:type="dxa"/>
          </w:tcPr>
          <w:p w:rsidR="005F6037" w:rsidRDefault="005F6037" w:rsidP="00F95264">
            <w:pPr>
              <w:rPr>
                <w:sz w:val="28"/>
                <w:szCs w:val="28"/>
              </w:rPr>
            </w:pPr>
            <w:r>
              <w:rPr>
                <w:sz w:val="28"/>
                <w:szCs w:val="28"/>
              </w:rPr>
              <w:lastRenderedPageBreak/>
              <w:t>Maths</w:t>
            </w:r>
          </w:p>
        </w:tc>
        <w:tc>
          <w:tcPr>
            <w:tcW w:w="13125" w:type="dxa"/>
            <w:gridSpan w:val="2"/>
          </w:tcPr>
          <w:p w:rsidR="005F6037" w:rsidRPr="005F6037" w:rsidRDefault="005F6037" w:rsidP="00F95264">
            <w:pPr>
              <w:rPr>
                <w:sz w:val="24"/>
                <w:szCs w:val="24"/>
              </w:rPr>
            </w:pPr>
            <w:r>
              <w:rPr>
                <w:sz w:val="24"/>
                <w:szCs w:val="24"/>
              </w:rPr>
              <w:t xml:space="preserve">Specific content has been missed leading to gaps in learning. Children still have an appetite for maths and lockdown has not affected their attitudes however they have fallen behind age related expectations in many areas. Recall of basic skills has suffered. Children are not able to recall addition facts, times tables and have forgotten taught calculation strategies. This has been reflected in NFER assessments and daily lessons. </w:t>
            </w:r>
          </w:p>
        </w:tc>
      </w:tr>
      <w:tr w:rsidR="005F6037" w:rsidTr="005F6037">
        <w:tc>
          <w:tcPr>
            <w:tcW w:w="2263" w:type="dxa"/>
          </w:tcPr>
          <w:p w:rsidR="005F6037" w:rsidRDefault="005F6037" w:rsidP="00F95264">
            <w:pPr>
              <w:rPr>
                <w:sz w:val="28"/>
                <w:szCs w:val="28"/>
              </w:rPr>
            </w:pPr>
            <w:r>
              <w:rPr>
                <w:sz w:val="28"/>
                <w:szCs w:val="28"/>
              </w:rPr>
              <w:t xml:space="preserve">Reading </w:t>
            </w:r>
          </w:p>
        </w:tc>
        <w:tc>
          <w:tcPr>
            <w:tcW w:w="13125" w:type="dxa"/>
            <w:gridSpan w:val="2"/>
          </w:tcPr>
          <w:p w:rsidR="005F6037" w:rsidRPr="005F6037" w:rsidRDefault="005F6037" w:rsidP="00F95264">
            <w:pPr>
              <w:rPr>
                <w:sz w:val="24"/>
                <w:szCs w:val="24"/>
              </w:rPr>
            </w:pPr>
            <w:r>
              <w:rPr>
                <w:sz w:val="24"/>
                <w:szCs w:val="24"/>
              </w:rPr>
              <w:t>Although reading was more accessible for families in that it requires less teachi</w:t>
            </w:r>
            <w:r w:rsidR="004411B8">
              <w:rPr>
                <w:sz w:val="24"/>
                <w:szCs w:val="24"/>
              </w:rPr>
              <w:t>ng in</w:t>
            </w:r>
            <w:r>
              <w:rPr>
                <w:sz w:val="24"/>
                <w:szCs w:val="24"/>
              </w:rPr>
              <w:t>put, some families did not have as much access to additional reading opportunities as others. Children are less fluent in their reading and the gap between those children who read widely and those children who don’t is now increasingly wide. Younger children and less able higher up the school, have forgotten basic phonic knowledge and all children across the school have shown a deterioration in higher order reading skills.</w:t>
            </w:r>
          </w:p>
        </w:tc>
      </w:tr>
      <w:tr w:rsidR="005F6037" w:rsidTr="005F6037">
        <w:tc>
          <w:tcPr>
            <w:tcW w:w="2263" w:type="dxa"/>
          </w:tcPr>
          <w:p w:rsidR="005F6037" w:rsidRDefault="005F6037" w:rsidP="00F95264">
            <w:pPr>
              <w:rPr>
                <w:sz w:val="28"/>
                <w:szCs w:val="28"/>
              </w:rPr>
            </w:pPr>
            <w:r>
              <w:rPr>
                <w:sz w:val="28"/>
                <w:szCs w:val="28"/>
              </w:rPr>
              <w:t>Writing</w:t>
            </w:r>
          </w:p>
        </w:tc>
        <w:tc>
          <w:tcPr>
            <w:tcW w:w="13125" w:type="dxa"/>
            <w:gridSpan w:val="2"/>
          </w:tcPr>
          <w:p w:rsidR="005F6037" w:rsidRPr="005F6037" w:rsidRDefault="005F6037" w:rsidP="00F95264">
            <w:pPr>
              <w:rPr>
                <w:sz w:val="24"/>
                <w:szCs w:val="24"/>
              </w:rPr>
            </w:pPr>
            <w:r>
              <w:rPr>
                <w:sz w:val="24"/>
                <w:szCs w:val="24"/>
              </w:rPr>
              <w:t>Children haven’t necessarily missed ‘units’ of learning in the same way as maths, however they have lost essential practising of writing skills.</w:t>
            </w:r>
            <w:r w:rsidR="004411B8">
              <w:rPr>
                <w:sz w:val="24"/>
                <w:szCs w:val="24"/>
              </w:rPr>
              <w:t xml:space="preserve"> GAP specific knowledge has suffered, leading to loss of fluency in writing. Those who have maintained writing throughout lockdown are less </w:t>
            </w:r>
            <w:r w:rsidR="00BF173B">
              <w:rPr>
                <w:sz w:val="24"/>
                <w:szCs w:val="24"/>
              </w:rPr>
              <w:t>affected,</w:t>
            </w:r>
            <w:r w:rsidR="004411B8">
              <w:rPr>
                <w:sz w:val="24"/>
                <w:szCs w:val="24"/>
              </w:rPr>
              <w:t xml:space="preserve"> however those who did not take up as many writing opportunities have had to work additionally hard on writing stamina and improving their motivation due to the lack of fluency in their ability to write. In addition, handwriting has suffered across the board as a result of variable provision within their homes.</w:t>
            </w:r>
          </w:p>
        </w:tc>
      </w:tr>
      <w:tr w:rsidR="005F6037" w:rsidTr="005F6037">
        <w:tc>
          <w:tcPr>
            <w:tcW w:w="2263" w:type="dxa"/>
          </w:tcPr>
          <w:p w:rsidR="005F6037" w:rsidRDefault="005F6037" w:rsidP="00F95264">
            <w:pPr>
              <w:rPr>
                <w:sz w:val="28"/>
                <w:szCs w:val="28"/>
              </w:rPr>
            </w:pPr>
            <w:r>
              <w:rPr>
                <w:sz w:val="28"/>
                <w:szCs w:val="28"/>
              </w:rPr>
              <w:t>Foundation</w:t>
            </w:r>
          </w:p>
        </w:tc>
        <w:tc>
          <w:tcPr>
            <w:tcW w:w="13125" w:type="dxa"/>
            <w:gridSpan w:val="2"/>
          </w:tcPr>
          <w:p w:rsidR="005F6037" w:rsidRDefault="004411B8" w:rsidP="00F95264">
            <w:pPr>
              <w:rPr>
                <w:sz w:val="24"/>
                <w:szCs w:val="24"/>
              </w:rPr>
            </w:pPr>
            <w:r>
              <w:rPr>
                <w:sz w:val="24"/>
                <w:szCs w:val="24"/>
              </w:rPr>
              <w:t>There are now significant gaps in knowledge – whole units of work have not been taught ( or only in a very sketchy way) meaning that children are less able to access pre-requisite knowledge when learning something new and they are less likely to make connections between concepts and themes throughout the curriculum.</w:t>
            </w:r>
          </w:p>
          <w:p w:rsidR="004411B8" w:rsidRPr="005F6037" w:rsidRDefault="004411B8" w:rsidP="00F95264">
            <w:pPr>
              <w:rPr>
                <w:sz w:val="24"/>
                <w:szCs w:val="24"/>
              </w:rPr>
            </w:pPr>
            <w:r>
              <w:rPr>
                <w:sz w:val="24"/>
                <w:szCs w:val="24"/>
              </w:rPr>
              <w:t xml:space="preserve">Children have also missed out on additional curriculum experiences due to lockdown </w:t>
            </w:r>
            <w:proofErr w:type="spellStart"/>
            <w:r w:rsidR="00BF173B">
              <w:rPr>
                <w:sz w:val="24"/>
                <w:szCs w:val="24"/>
              </w:rPr>
              <w:t>e.g.</w:t>
            </w:r>
            <w:proofErr w:type="gramStart"/>
            <w:r w:rsidR="00BF173B">
              <w:rPr>
                <w:sz w:val="24"/>
                <w:szCs w:val="24"/>
              </w:rPr>
              <w:t>;</w:t>
            </w:r>
            <w:r>
              <w:rPr>
                <w:sz w:val="24"/>
                <w:szCs w:val="24"/>
              </w:rPr>
              <w:t>trips</w:t>
            </w:r>
            <w:proofErr w:type="spellEnd"/>
            <w:proofErr w:type="gramEnd"/>
            <w:r>
              <w:rPr>
                <w:sz w:val="24"/>
                <w:szCs w:val="24"/>
              </w:rPr>
              <w:t xml:space="preserve">, visitors, </w:t>
            </w:r>
            <w:proofErr w:type="spellStart"/>
            <w:r>
              <w:rPr>
                <w:sz w:val="24"/>
                <w:szCs w:val="24"/>
              </w:rPr>
              <w:t>residentials</w:t>
            </w:r>
            <w:proofErr w:type="spellEnd"/>
            <w:r>
              <w:rPr>
                <w:sz w:val="24"/>
                <w:szCs w:val="24"/>
              </w:rPr>
              <w:t xml:space="preserve"> and meaningful presentations of learning.</w:t>
            </w:r>
          </w:p>
        </w:tc>
      </w:tr>
    </w:tbl>
    <w:p w:rsidR="008654D2" w:rsidRDefault="008654D2" w:rsidP="00F95264">
      <w:pPr>
        <w:rPr>
          <w:sz w:val="28"/>
          <w:szCs w:val="28"/>
        </w:rPr>
      </w:pPr>
    </w:p>
    <w:p w:rsidR="00BF173B" w:rsidRDefault="00BF173B" w:rsidP="00F95264">
      <w:pPr>
        <w:rPr>
          <w:sz w:val="28"/>
          <w:szCs w:val="28"/>
        </w:rPr>
      </w:pPr>
    </w:p>
    <w:tbl>
      <w:tblPr>
        <w:tblStyle w:val="TableGrid"/>
        <w:tblW w:w="0" w:type="auto"/>
        <w:tblLook w:val="04A0" w:firstRow="1" w:lastRow="0" w:firstColumn="1" w:lastColumn="0" w:noHBand="0" w:noVBand="1"/>
      </w:tblPr>
      <w:tblGrid>
        <w:gridCol w:w="3988"/>
        <w:gridCol w:w="5363"/>
        <w:gridCol w:w="3260"/>
        <w:gridCol w:w="1276"/>
        <w:gridCol w:w="1501"/>
      </w:tblGrid>
      <w:tr w:rsidR="0063164C" w:rsidTr="00A438D2">
        <w:tc>
          <w:tcPr>
            <w:tcW w:w="15388" w:type="dxa"/>
            <w:gridSpan w:val="5"/>
            <w:shd w:val="clear" w:color="auto" w:fill="FFC000"/>
          </w:tcPr>
          <w:p w:rsidR="0063164C" w:rsidRDefault="0063164C" w:rsidP="00F95264">
            <w:pPr>
              <w:rPr>
                <w:sz w:val="28"/>
                <w:szCs w:val="28"/>
              </w:rPr>
            </w:pPr>
            <w:r>
              <w:rPr>
                <w:sz w:val="28"/>
                <w:szCs w:val="28"/>
              </w:rPr>
              <w:t xml:space="preserve">Planned expenditure </w:t>
            </w:r>
            <w:r>
              <w:rPr>
                <w:sz w:val="24"/>
                <w:szCs w:val="24"/>
              </w:rPr>
              <w:t>The headings below are grouped into the EEF strategies listed above.</w:t>
            </w:r>
          </w:p>
        </w:tc>
      </w:tr>
      <w:tr w:rsidR="0063164C" w:rsidTr="00A438D2">
        <w:tc>
          <w:tcPr>
            <w:tcW w:w="15388" w:type="dxa"/>
            <w:gridSpan w:val="5"/>
            <w:shd w:val="clear" w:color="auto" w:fill="D9D9D9" w:themeFill="background1" w:themeFillShade="D9"/>
          </w:tcPr>
          <w:p w:rsidR="0063164C" w:rsidRDefault="00BF173B" w:rsidP="00F95264">
            <w:pPr>
              <w:rPr>
                <w:sz w:val="28"/>
                <w:szCs w:val="28"/>
              </w:rPr>
            </w:pPr>
            <w:r>
              <w:rPr>
                <w:sz w:val="28"/>
                <w:szCs w:val="28"/>
              </w:rPr>
              <w:t xml:space="preserve">I. </w:t>
            </w:r>
            <w:r w:rsidR="0063164C">
              <w:rPr>
                <w:sz w:val="28"/>
                <w:szCs w:val="28"/>
              </w:rPr>
              <w:t>Teaching and Whole School strategies</w:t>
            </w:r>
          </w:p>
        </w:tc>
      </w:tr>
      <w:tr w:rsidR="004411B8" w:rsidTr="0063164C">
        <w:tc>
          <w:tcPr>
            <w:tcW w:w="3988" w:type="dxa"/>
          </w:tcPr>
          <w:p w:rsidR="004411B8" w:rsidRPr="0063164C" w:rsidRDefault="0063164C" w:rsidP="00F95264">
            <w:pPr>
              <w:rPr>
                <w:sz w:val="24"/>
                <w:szCs w:val="24"/>
              </w:rPr>
            </w:pPr>
            <w:r>
              <w:rPr>
                <w:sz w:val="24"/>
                <w:szCs w:val="24"/>
              </w:rPr>
              <w:t>Desired Outcome</w:t>
            </w:r>
          </w:p>
        </w:tc>
        <w:tc>
          <w:tcPr>
            <w:tcW w:w="5363" w:type="dxa"/>
          </w:tcPr>
          <w:p w:rsidR="004411B8" w:rsidRPr="0063164C" w:rsidRDefault="0063164C" w:rsidP="00F95264">
            <w:pPr>
              <w:rPr>
                <w:sz w:val="24"/>
                <w:szCs w:val="24"/>
              </w:rPr>
            </w:pPr>
            <w:r>
              <w:rPr>
                <w:sz w:val="24"/>
                <w:szCs w:val="24"/>
              </w:rPr>
              <w:t>Chosen approach and anticipated cost</w:t>
            </w:r>
          </w:p>
        </w:tc>
        <w:tc>
          <w:tcPr>
            <w:tcW w:w="3260" w:type="dxa"/>
          </w:tcPr>
          <w:p w:rsidR="004411B8" w:rsidRPr="0063164C" w:rsidRDefault="0063164C" w:rsidP="00F95264">
            <w:pPr>
              <w:rPr>
                <w:sz w:val="24"/>
                <w:szCs w:val="24"/>
              </w:rPr>
            </w:pPr>
            <w:r>
              <w:rPr>
                <w:sz w:val="24"/>
                <w:szCs w:val="24"/>
              </w:rPr>
              <w:t>Impact (once reviewed)</w:t>
            </w:r>
          </w:p>
        </w:tc>
        <w:tc>
          <w:tcPr>
            <w:tcW w:w="1276" w:type="dxa"/>
          </w:tcPr>
          <w:p w:rsidR="004411B8" w:rsidRPr="0063164C" w:rsidRDefault="0063164C" w:rsidP="00F95264">
            <w:pPr>
              <w:rPr>
                <w:sz w:val="24"/>
                <w:szCs w:val="24"/>
              </w:rPr>
            </w:pPr>
            <w:r>
              <w:rPr>
                <w:sz w:val="24"/>
                <w:szCs w:val="24"/>
              </w:rPr>
              <w:t>Staff lead</w:t>
            </w:r>
          </w:p>
        </w:tc>
        <w:tc>
          <w:tcPr>
            <w:tcW w:w="1501" w:type="dxa"/>
          </w:tcPr>
          <w:p w:rsidR="004411B8" w:rsidRPr="0063164C" w:rsidRDefault="0063164C" w:rsidP="00F95264">
            <w:pPr>
              <w:rPr>
                <w:sz w:val="24"/>
                <w:szCs w:val="24"/>
              </w:rPr>
            </w:pPr>
            <w:r>
              <w:rPr>
                <w:sz w:val="24"/>
                <w:szCs w:val="24"/>
              </w:rPr>
              <w:t>Review date</w:t>
            </w:r>
          </w:p>
        </w:tc>
      </w:tr>
      <w:tr w:rsidR="004411B8" w:rsidTr="0063164C">
        <w:tc>
          <w:tcPr>
            <w:tcW w:w="3988" w:type="dxa"/>
          </w:tcPr>
          <w:p w:rsidR="008654D2" w:rsidRDefault="0063164C" w:rsidP="00F95264">
            <w:r>
              <w:rPr>
                <w:sz w:val="24"/>
                <w:szCs w:val="24"/>
                <w:u w:val="single"/>
              </w:rPr>
              <w:t>Supporting great teaching</w:t>
            </w:r>
          </w:p>
          <w:p w:rsidR="0063164C" w:rsidRDefault="0063164C" w:rsidP="00F95264"/>
          <w:p w:rsidR="0063164C" w:rsidRDefault="0063164C" w:rsidP="0063164C">
            <w:r>
              <w:t>The government Core Concepts for mathematics will be used to identify the key knowledge constructs required to speedily bring the children back up to ARE. Subject leaders will identify key concepts required within their subject areas to allow children to move forward</w:t>
            </w:r>
          </w:p>
          <w:p w:rsidR="006F48B5" w:rsidRDefault="006F48B5" w:rsidP="0063164C"/>
          <w:p w:rsidR="006F48B5" w:rsidRPr="0063164C" w:rsidRDefault="006F48B5" w:rsidP="006F48B5">
            <w:r>
              <w:lastRenderedPageBreak/>
              <w:t>Presentation of children’s work needs to be brought back up to pre-lockdown standards so that school expectations are reinforced.</w:t>
            </w:r>
          </w:p>
        </w:tc>
        <w:tc>
          <w:tcPr>
            <w:tcW w:w="5363" w:type="dxa"/>
          </w:tcPr>
          <w:p w:rsidR="004411B8" w:rsidRDefault="004411B8" w:rsidP="00F95264">
            <w:pPr>
              <w:rPr>
                <w:sz w:val="24"/>
                <w:szCs w:val="24"/>
              </w:rPr>
            </w:pPr>
          </w:p>
          <w:p w:rsidR="0063164C" w:rsidRPr="006F48B5" w:rsidRDefault="0063164C" w:rsidP="00F95264">
            <w:pPr>
              <w:rPr>
                <w:color w:val="FF0000"/>
                <w:sz w:val="24"/>
                <w:szCs w:val="24"/>
              </w:rPr>
            </w:pPr>
          </w:p>
          <w:p w:rsidR="0063164C" w:rsidRDefault="00BF173B" w:rsidP="00F95264">
            <w:pPr>
              <w:rPr>
                <w:sz w:val="24"/>
                <w:szCs w:val="24"/>
              </w:rPr>
            </w:pPr>
            <w:r>
              <w:rPr>
                <w:sz w:val="24"/>
                <w:szCs w:val="24"/>
              </w:rPr>
              <w:t>T</w:t>
            </w:r>
            <w:r w:rsidR="0063164C">
              <w:rPr>
                <w:sz w:val="24"/>
                <w:szCs w:val="24"/>
              </w:rPr>
              <w:t xml:space="preserve">eachers </w:t>
            </w:r>
            <w:r w:rsidR="006F48B5">
              <w:rPr>
                <w:sz w:val="24"/>
                <w:szCs w:val="24"/>
              </w:rPr>
              <w:t>streamline uni</w:t>
            </w:r>
            <w:r w:rsidR="0063164C">
              <w:rPr>
                <w:sz w:val="24"/>
                <w:szCs w:val="24"/>
              </w:rPr>
              <w:t xml:space="preserve">ts of work in all areas so that </w:t>
            </w:r>
            <w:r w:rsidR="006F48B5">
              <w:rPr>
                <w:sz w:val="24"/>
                <w:szCs w:val="24"/>
              </w:rPr>
              <w:t xml:space="preserve">basic core knowledge is prioritised. </w:t>
            </w:r>
          </w:p>
          <w:p w:rsidR="00BF173B" w:rsidRDefault="00BF173B" w:rsidP="006F48B5">
            <w:pPr>
              <w:rPr>
                <w:sz w:val="24"/>
                <w:szCs w:val="24"/>
              </w:rPr>
            </w:pPr>
          </w:p>
          <w:p w:rsidR="00BF173B" w:rsidRDefault="006F48B5" w:rsidP="006F48B5">
            <w:pPr>
              <w:rPr>
                <w:sz w:val="24"/>
                <w:szCs w:val="24"/>
              </w:rPr>
            </w:pPr>
            <w:r>
              <w:rPr>
                <w:sz w:val="24"/>
                <w:szCs w:val="24"/>
              </w:rPr>
              <w:t xml:space="preserve">                                                             </w:t>
            </w:r>
          </w:p>
          <w:p w:rsidR="00BF173B" w:rsidRDefault="00BF173B" w:rsidP="006F48B5">
            <w:pPr>
              <w:rPr>
                <w:sz w:val="24"/>
                <w:szCs w:val="24"/>
              </w:rPr>
            </w:pPr>
          </w:p>
          <w:p w:rsidR="006F48B5" w:rsidRDefault="006F48B5" w:rsidP="00BF173B">
            <w:pPr>
              <w:jc w:val="right"/>
              <w:rPr>
                <w:color w:val="FF0000"/>
                <w:sz w:val="24"/>
                <w:szCs w:val="24"/>
              </w:rPr>
            </w:pPr>
            <w:r>
              <w:rPr>
                <w:color w:val="FF0000"/>
                <w:sz w:val="24"/>
                <w:szCs w:val="24"/>
              </w:rPr>
              <w:t>No additional cost</w:t>
            </w:r>
          </w:p>
          <w:p w:rsidR="006F48B5" w:rsidRDefault="006F48B5" w:rsidP="006F48B5">
            <w:pPr>
              <w:rPr>
                <w:color w:val="FF0000"/>
                <w:sz w:val="24"/>
                <w:szCs w:val="24"/>
              </w:rPr>
            </w:pPr>
          </w:p>
          <w:p w:rsidR="008654D2" w:rsidRDefault="008654D2" w:rsidP="006F48B5">
            <w:pPr>
              <w:rPr>
                <w:sz w:val="24"/>
                <w:szCs w:val="24"/>
              </w:rPr>
            </w:pPr>
          </w:p>
          <w:p w:rsidR="006F48B5" w:rsidRDefault="006F48B5" w:rsidP="006F48B5">
            <w:pPr>
              <w:rPr>
                <w:sz w:val="24"/>
                <w:szCs w:val="24"/>
              </w:rPr>
            </w:pPr>
            <w:r>
              <w:rPr>
                <w:sz w:val="24"/>
                <w:szCs w:val="24"/>
              </w:rPr>
              <w:lastRenderedPageBreak/>
              <w:t>Lined books using the schools presentation strategy will be rolled out across all subject areas as opposed to just English.</w:t>
            </w:r>
          </w:p>
          <w:p w:rsidR="006F48B5" w:rsidRPr="006F48B5" w:rsidRDefault="006F48B5" w:rsidP="006F48B5">
            <w:pPr>
              <w:rPr>
                <w:color w:val="FF0000"/>
                <w:sz w:val="24"/>
                <w:szCs w:val="24"/>
              </w:rPr>
            </w:pPr>
            <w:r>
              <w:rPr>
                <w:sz w:val="24"/>
                <w:szCs w:val="24"/>
              </w:rPr>
              <w:t xml:space="preserve">                                                                                     </w:t>
            </w:r>
            <w:r>
              <w:rPr>
                <w:color w:val="FF0000"/>
                <w:sz w:val="24"/>
                <w:szCs w:val="24"/>
              </w:rPr>
              <w:t>£981</w:t>
            </w:r>
          </w:p>
        </w:tc>
        <w:tc>
          <w:tcPr>
            <w:tcW w:w="3260" w:type="dxa"/>
          </w:tcPr>
          <w:p w:rsidR="004411B8" w:rsidRPr="0063164C" w:rsidRDefault="004411B8" w:rsidP="00F95264">
            <w:pPr>
              <w:rPr>
                <w:sz w:val="24"/>
                <w:szCs w:val="24"/>
              </w:rPr>
            </w:pPr>
          </w:p>
        </w:tc>
        <w:tc>
          <w:tcPr>
            <w:tcW w:w="1276" w:type="dxa"/>
          </w:tcPr>
          <w:p w:rsidR="004411B8" w:rsidRDefault="004411B8" w:rsidP="00F95264">
            <w:pPr>
              <w:rPr>
                <w:sz w:val="24"/>
                <w:szCs w:val="24"/>
              </w:rPr>
            </w:pPr>
          </w:p>
          <w:p w:rsidR="006F48B5" w:rsidRDefault="006F48B5" w:rsidP="00F95264">
            <w:pPr>
              <w:rPr>
                <w:sz w:val="24"/>
                <w:szCs w:val="24"/>
              </w:rPr>
            </w:pPr>
          </w:p>
          <w:p w:rsidR="006F48B5" w:rsidRDefault="006F48B5" w:rsidP="00F95264">
            <w:pPr>
              <w:rPr>
                <w:sz w:val="24"/>
                <w:szCs w:val="24"/>
              </w:rPr>
            </w:pPr>
          </w:p>
          <w:p w:rsidR="006F48B5" w:rsidRDefault="006F48B5" w:rsidP="00F95264">
            <w:pPr>
              <w:rPr>
                <w:sz w:val="24"/>
                <w:szCs w:val="24"/>
              </w:rPr>
            </w:pPr>
            <w:r>
              <w:rPr>
                <w:sz w:val="24"/>
                <w:szCs w:val="24"/>
              </w:rPr>
              <w:t>Subject leads</w:t>
            </w:r>
          </w:p>
          <w:p w:rsidR="006F48B5" w:rsidRDefault="006F48B5" w:rsidP="00F95264">
            <w:pPr>
              <w:rPr>
                <w:sz w:val="24"/>
                <w:szCs w:val="24"/>
              </w:rPr>
            </w:pPr>
          </w:p>
          <w:p w:rsidR="006F48B5" w:rsidRDefault="006F48B5" w:rsidP="00F95264">
            <w:pPr>
              <w:rPr>
                <w:sz w:val="24"/>
                <w:szCs w:val="24"/>
              </w:rPr>
            </w:pPr>
          </w:p>
          <w:p w:rsidR="006F48B5" w:rsidRDefault="006F48B5" w:rsidP="00F95264">
            <w:pPr>
              <w:rPr>
                <w:sz w:val="24"/>
                <w:szCs w:val="24"/>
              </w:rPr>
            </w:pPr>
          </w:p>
          <w:p w:rsidR="006F48B5" w:rsidRDefault="006F48B5" w:rsidP="00F95264">
            <w:pPr>
              <w:rPr>
                <w:sz w:val="24"/>
                <w:szCs w:val="24"/>
              </w:rPr>
            </w:pPr>
          </w:p>
          <w:p w:rsidR="006F48B5" w:rsidRDefault="006F48B5" w:rsidP="00F95264">
            <w:pPr>
              <w:rPr>
                <w:sz w:val="24"/>
                <w:szCs w:val="24"/>
              </w:rPr>
            </w:pPr>
          </w:p>
          <w:p w:rsidR="008654D2" w:rsidRDefault="008654D2" w:rsidP="00F95264">
            <w:pPr>
              <w:rPr>
                <w:sz w:val="24"/>
                <w:szCs w:val="24"/>
              </w:rPr>
            </w:pPr>
          </w:p>
          <w:p w:rsidR="006F48B5" w:rsidRPr="0063164C" w:rsidRDefault="006F48B5" w:rsidP="00F95264">
            <w:pPr>
              <w:rPr>
                <w:sz w:val="24"/>
                <w:szCs w:val="24"/>
              </w:rPr>
            </w:pPr>
            <w:r>
              <w:rPr>
                <w:sz w:val="24"/>
                <w:szCs w:val="24"/>
              </w:rPr>
              <w:t>SLT</w:t>
            </w:r>
          </w:p>
        </w:tc>
        <w:tc>
          <w:tcPr>
            <w:tcW w:w="1501" w:type="dxa"/>
          </w:tcPr>
          <w:p w:rsidR="004411B8" w:rsidRDefault="004411B8" w:rsidP="00F95264">
            <w:pPr>
              <w:rPr>
                <w:sz w:val="24"/>
                <w:szCs w:val="24"/>
              </w:rPr>
            </w:pPr>
          </w:p>
          <w:p w:rsidR="006F48B5" w:rsidRDefault="006F48B5" w:rsidP="00F95264">
            <w:pPr>
              <w:rPr>
                <w:sz w:val="24"/>
                <w:szCs w:val="24"/>
              </w:rPr>
            </w:pPr>
          </w:p>
          <w:p w:rsidR="006F48B5" w:rsidRDefault="006F48B5" w:rsidP="00F95264">
            <w:pPr>
              <w:rPr>
                <w:sz w:val="24"/>
                <w:szCs w:val="24"/>
              </w:rPr>
            </w:pPr>
          </w:p>
          <w:p w:rsidR="006F48B5" w:rsidRDefault="006F48B5" w:rsidP="00F95264">
            <w:pPr>
              <w:rPr>
                <w:sz w:val="24"/>
                <w:szCs w:val="24"/>
              </w:rPr>
            </w:pPr>
            <w:r>
              <w:rPr>
                <w:sz w:val="24"/>
                <w:szCs w:val="24"/>
              </w:rPr>
              <w:t>December 20 initially</w:t>
            </w:r>
          </w:p>
          <w:p w:rsidR="006F48B5" w:rsidRDefault="006F48B5" w:rsidP="00F95264">
            <w:pPr>
              <w:rPr>
                <w:sz w:val="24"/>
                <w:szCs w:val="24"/>
              </w:rPr>
            </w:pPr>
          </w:p>
          <w:p w:rsidR="006F48B5" w:rsidRDefault="006F48B5" w:rsidP="00F95264">
            <w:pPr>
              <w:rPr>
                <w:sz w:val="24"/>
                <w:szCs w:val="24"/>
              </w:rPr>
            </w:pPr>
          </w:p>
          <w:p w:rsidR="006F48B5" w:rsidRDefault="006F48B5" w:rsidP="00F95264">
            <w:pPr>
              <w:rPr>
                <w:sz w:val="24"/>
                <w:szCs w:val="24"/>
              </w:rPr>
            </w:pPr>
          </w:p>
          <w:p w:rsidR="006F48B5" w:rsidRDefault="006F48B5" w:rsidP="00F95264">
            <w:pPr>
              <w:rPr>
                <w:sz w:val="24"/>
                <w:szCs w:val="24"/>
              </w:rPr>
            </w:pPr>
          </w:p>
          <w:p w:rsidR="006F48B5" w:rsidRDefault="006F48B5" w:rsidP="00F95264">
            <w:pPr>
              <w:rPr>
                <w:sz w:val="24"/>
                <w:szCs w:val="24"/>
              </w:rPr>
            </w:pPr>
          </w:p>
          <w:p w:rsidR="008654D2" w:rsidRDefault="008654D2" w:rsidP="00F95264">
            <w:pPr>
              <w:rPr>
                <w:sz w:val="24"/>
                <w:szCs w:val="24"/>
              </w:rPr>
            </w:pPr>
          </w:p>
          <w:p w:rsidR="006F48B5" w:rsidRPr="0063164C" w:rsidRDefault="006F48B5" w:rsidP="00F95264">
            <w:pPr>
              <w:rPr>
                <w:sz w:val="24"/>
                <w:szCs w:val="24"/>
              </w:rPr>
            </w:pPr>
            <w:r>
              <w:rPr>
                <w:sz w:val="24"/>
                <w:szCs w:val="24"/>
              </w:rPr>
              <w:t>Ongoing</w:t>
            </w:r>
          </w:p>
        </w:tc>
      </w:tr>
      <w:tr w:rsidR="004411B8" w:rsidTr="0063164C">
        <w:tc>
          <w:tcPr>
            <w:tcW w:w="3988" w:type="dxa"/>
          </w:tcPr>
          <w:p w:rsidR="004411B8" w:rsidRPr="008654D2" w:rsidRDefault="006F48B5" w:rsidP="00F95264">
            <w:pPr>
              <w:rPr>
                <w:u w:val="single"/>
              </w:rPr>
            </w:pPr>
            <w:r w:rsidRPr="008654D2">
              <w:rPr>
                <w:u w:val="single"/>
              </w:rPr>
              <w:lastRenderedPageBreak/>
              <w:t>Teaching Assessment and Feedback</w:t>
            </w:r>
          </w:p>
          <w:p w:rsidR="006F48B5" w:rsidRPr="008654D2" w:rsidRDefault="006F48B5" w:rsidP="00F95264">
            <w:r w:rsidRPr="008654D2">
              <w:t>All teachers will accurately assess children’s current attainment to determine how far they are from the last pre-lockdown data catch (December 2019) and identify common learning objectives which have been affected.</w:t>
            </w:r>
          </w:p>
          <w:p w:rsidR="008654D2" w:rsidRPr="008654D2" w:rsidRDefault="008654D2" w:rsidP="00F95264"/>
          <w:p w:rsidR="008654D2" w:rsidRPr="008654D2" w:rsidRDefault="008654D2" w:rsidP="00F95264"/>
          <w:p w:rsidR="008654D2" w:rsidRPr="008654D2" w:rsidRDefault="008654D2" w:rsidP="00F95264">
            <w:r w:rsidRPr="008654D2">
              <w:t>Data catches will take place at the end of each term and will be used to evaluate impact and identify further cohorts of children.</w:t>
            </w:r>
          </w:p>
        </w:tc>
        <w:tc>
          <w:tcPr>
            <w:tcW w:w="5363" w:type="dxa"/>
          </w:tcPr>
          <w:p w:rsidR="004411B8" w:rsidRPr="008654D2" w:rsidRDefault="004411B8" w:rsidP="00F95264"/>
          <w:p w:rsidR="006F48B5" w:rsidRPr="008654D2" w:rsidRDefault="006F48B5" w:rsidP="006F48B5">
            <w:r w:rsidRPr="008654D2">
              <w:t>The summer term NFER test from their last academic year will be administered to identify slippage for individuals and learning objectives for the cohort.</w:t>
            </w:r>
          </w:p>
          <w:p w:rsidR="006F48B5" w:rsidRPr="008654D2" w:rsidRDefault="006F48B5" w:rsidP="006F48B5"/>
          <w:p w:rsidR="006F48B5" w:rsidRPr="008654D2" w:rsidRDefault="006F48B5" w:rsidP="006F48B5"/>
          <w:p w:rsidR="006F48B5" w:rsidRPr="008654D2" w:rsidRDefault="006F48B5" w:rsidP="006F48B5">
            <w:r w:rsidRPr="008654D2">
              <w:t xml:space="preserve">                                                              </w:t>
            </w:r>
            <w:r w:rsidRPr="008654D2">
              <w:rPr>
                <w:color w:val="FF0000"/>
              </w:rPr>
              <w:t>No additional cost</w:t>
            </w:r>
          </w:p>
          <w:p w:rsidR="008654D2" w:rsidRDefault="008654D2" w:rsidP="006F48B5"/>
          <w:p w:rsidR="008654D2" w:rsidRDefault="008654D2" w:rsidP="006F48B5"/>
          <w:p w:rsidR="008654D2" w:rsidRDefault="008654D2" w:rsidP="006F48B5">
            <w:r w:rsidRPr="008654D2">
              <w:t xml:space="preserve">Analyse </w:t>
            </w:r>
            <w:r>
              <w:t>data catch and carry out question level analysis to identify children for intervention programmes and targeted support.</w:t>
            </w:r>
          </w:p>
          <w:p w:rsidR="008654D2" w:rsidRPr="008654D2" w:rsidRDefault="008654D2" w:rsidP="006F48B5">
            <w:r w:rsidRPr="008654D2">
              <w:rPr>
                <w:color w:val="FF0000"/>
              </w:rPr>
              <w:t xml:space="preserve">                                                              No additional cost</w:t>
            </w:r>
          </w:p>
        </w:tc>
        <w:tc>
          <w:tcPr>
            <w:tcW w:w="3260" w:type="dxa"/>
          </w:tcPr>
          <w:p w:rsidR="004411B8" w:rsidRPr="0063164C" w:rsidRDefault="004411B8" w:rsidP="00F95264">
            <w:pPr>
              <w:rPr>
                <w:sz w:val="24"/>
                <w:szCs w:val="24"/>
              </w:rPr>
            </w:pPr>
          </w:p>
        </w:tc>
        <w:tc>
          <w:tcPr>
            <w:tcW w:w="1276" w:type="dxa"/>
          </w:tcPr>
          <w:p w:rsidR="004411B8" w:rsidRDefault="004411B8" w:rsidP="00F95264">
            <w:pPr>
              <w:rPr>
                <w:sz w:val="24"/>
                <w:szCs w:val="24"/>
              </w:rPr>
            </w:pPr>
          </w:p>
          <w:p w:rsidR="006F48B5" w:rsidRDefault="006F48B5" w:rsidP="00F95264">
            <w:pPr>
              <w:rPr>
                <w:sz w:val="24"/>
                <w:szCs w:val="24"/>
              </w:rPr>
            </w:pPr>
            <w:r>
              <w:rPr>
                <w:sz w:val="24"/>
                <w:szCs w:val="24"/>
              </w:rPr>
              <w:t>JD</w:t>
            </w:r>
          </w:p>
          <w:p w:rsidR="008654D2" w:rsidRDefault="008654D2" w:rsidP="00F95264">
            <w:pPr>
              <w:rPr>
                <w:sz w:val="24"/>
                <w:szCs w:val="24"/>
              </w:rPr>
            </w:pPr>
          </w:p>
          <w:p w:rsidR="008654D2" w:rsidRDefault="008654D2" w:rsidP="00F95264">
            <w:pPr>
              <w:rPr>
                <w:sz w:val="24"/>
                <w:szCs w:val="24"/>
              </w:rPr>
            </w:pPr>
          </w:p>
          <w:p w:rsidR="008654D2" w:rsidRDefault="008654D2" w:rsidP="00F95264">
            <w:pPr>
              <w:rPr>
                <w:sz w:val="24"/>
                <w:szCs w:val="24"/>
              </w:rPr>
            </w:pPr>
          </w:p>
          <w:p w:rsidR="008654D2" w:rsidRDefault="008654D2" w:rsidP="00F95264">
            <w:pPr>
              <w:rPr>
                <w:sz w:val="24"/>
                <w:szCs w:val="24"/>
              </w:rPr>
            </w:pPr>
          </w:p>
          <w:p w:rsidR="008654D2" w:rsidRDefault="008654D2" w:rsidP="00F95264">
            <w:pPr>
              <w:rPr>
                <w:sz w:val="24"/>
                <w:szCs w:val="24"/>
              </w:rPr>
            </w:pPr>
          </w:p>
          <w:p w:rsidR="008654D2" w:rsidRDefault="008654D2" w:rsidP="00F95264">
            <w:pPr>
              <w:rPr>
                <w:sz w:val="24"/>
                <w:szCs w:val="24"/>
              </w:rPr>
            </w:pPr>
          </w:p>
          <w:p w:rsidR="008654D2" w:rsidRPr="0063164C" w:rsidRDefault="008654D2" w:rsidP="00F95264">
            <w:pPr>
              <w:rPr>
                <w:sz w:val="24"/>
                <w:szCs w:val="24"/>
              </w:rPr>
            </w:pPr>
            <w:r>
              <w:rPr>
                <w:sz w:val="24"/>
                <w:szCs w:val="24"/>
              </w:rPr>
              <w:t>JD/AL</w:t>
            </w:r>
          </w:p>
        </w:tc>
        <w:tc>
          <w:tcPr>
            <w:tcW w:w="1501" w:type="dxa"/>
          </w:tcPr>
          <w:p w:rsidR="004411B8" w:rsidRDefault="004411B8" w:rsidP="00F95264">
            <w:pPr>
              <w:rPr>
                <w:sz w:val="24"/>
                <w:szCs w:val="24"/>
              </w:rPr>
            </w:pPr>
          </w:p>
          <w:p w:rsidR="006F48B5" w:rsidRDefault="006F48B5" w:rsidP="00F95264">
            <w:pPr>
              <w:rPr>
                <w:sz w:val="24"/>
                <w:szCs w:val="24"/>
              </w:rPr>
            </w:pPr>
            <w:r>
              <w:rPr>
                <w:sz w:val="24"/>
                <w:szCs w:val="24"/>
              </w:rPr>
              <w:t>Oct 20</w:t>
            </w:r>
          </w:p>
          <w:p w:rsidR="008654D2" w:rsidRDefault="008654D2" w:rsidP="00F95264">
            <w:pPr>
              <w:rPr>
                <w:sz w:val="24"/>
                <w:szCs w:val="24"/>
              </w:rPr>
            </w:pPr>
          </w:p>
          <w:p w:rsidR="008654D2" w:rsidRDefault="008654D2" w:rsidP="00F95264">
            <w:pPr>
              <w:rPr>
                <w:sz w:val="24"/>
                <w:szCs w:val="24"/>
              </w:rPr>
            </w:pPr>
          </w:p>
          <w:p w:rsidR="008654D2" w:rsidRDefault="008654D2" w:rsidP="00F95264">
            <w:pPr>
              <w:rPr>
                <w:sz w:val="24"/>
                <w:szCs w:val="24"/>
              </w:rPr>
            </w:pPr>
          </w:p>
          <w:p w:rsidR="008654D2" w:rsidRDefault="008654D2" w:rsidP="00F95264">
            <w:pPr>
              <w:rPr>
                <w:sz w:val="24"/>
                <w:szCs w:val="24"/>
              </w:rPr>
            </w:pPr>
          </w:p>
          <w:p w:rsidR="008654D2" w:rsidRDefault="008654D2" w:rsidP="00F95264">
            <w:pPr>
              <w:rPr>
                <w:sz w:val="24"/>
                <w:szCs w:val="24"/>
              </w:rPr>
            </w:pPr>
          </w:p>
          <w:p w:rsidR="008654D2" w:rsidRDefault="008654D2" w:rsidP="00F95264">
            <w:pPr>
              <w:rPr>
                <w:sz w:val="24"/>
                <w:szCs w:val="24"/>
              </w:rPr>
            </w:pPr>
          </w:p>
          <w:p w:rsidR="008654D2" w:rsidRPr="0063164C" w:rsidRDefault="008654D2" w:rsidP="00F95264">
            <w:pPr>
              <w:rPr>
                <w:sz w:val="24"/>
                <w:szCs w:val="24"/>
              </w:rPr>
            </w:pPr>
            <w:r>
              <w:rPr>
                <w:sz w:val="24"/>
                <w:szCs w:val="24"/>
              </w:rPr>
              <w:t>Termly</w:t>
            </w:r>
          </w:p>
        </w:tc>
      </w:tr>
      <w:tr w:rsidR="004411B8" w:rsidTr="0063164C">
        <w:tc>
          <w:tcPr>
            <w:tcW w:w="3988" w:type="dxa"/>
          </w:tcPr>
          <w:p w:rsidR="004411B8" w:rsidRDefault="008654D2" w:rsidP="00F95264">
            <w:pPr>
              <w:rPr>
                <w:sz w:val="24"/>
                <w:szCs w:val="24"/>
                <w:u w:val="single"/>
              </w:rPr>
            </w:pPr>
            <w:r>
              <w:rPr>
                <w:sz w:val="24"/>
                <w:szCs w:val="24"/>
                <w:u w:val="single"/>
              </w:rPr>
              <w:t>Transition Support</w:t>
            </w:r>
          </w:p>
          <w:p w:rsidR="008654D2" w:rsidRPr="008654D2" w:rsidRDefault="008654D2" w:rsidP="00F95264">
            <w:pPr>
              <w:rPr>
                <w:sz w:val="24"/>
                <w:szCs w:val="24"/>
              </w:rPr>
            </w:pPr>
          </w:p>
          <w:p w:rsidR="008654D2" w:rsidRDefault="008654D2" w:rsidP="008654D2">
            <w:pPr>
              <w:rPr>
                <w:sz w:val="24"/>
                <w:szCs w:val="24"/>
              </w:rPr>
            </w:pPr>
            <w:r w:rsidRPr="008654D2">
              <w:rPr>
                <w:sz w:val="24"/>
                <w:szCs w:val="24"/>
              </w:rPr>
              <w:t>Children who are looking to join school next year will be able to have an opportunity to become familiar with the setting before they apply</w:t>
            </w:r>
          </w:p>
          <w:p w:rsidR="008654D2" w:rsidRDefault="008654D2" w:rsidP="008654D2">
            <w:pPr>
              <w:rPr>
                <w:sz w:val="24"/>
                <w:szCs w:val="24"/>
              </w:rPr>
            </w:pPr>
          </w:p>
          <w:p w:rsidR="008654D2" w:rsidRPr="008654D2" w:rsidRDefault="008654D2" w:rsidP="008654D2">
            <w:pPr>
              <w:rPr>
                <w:sz w:val="24"/>
                <w:szCs w:val="24"/>
              </w:rPr>
            </w:pPr>
            <w:r>
              <w:rPr>
                <w:sz w:val="24"/>
                <w:szCs w:val="24"/>
              </w:rPr>
              <w:t>Children starting Reception will have more time in small groups and with parents before beginning full ti</w:t>
            </w:r>
            <w:r w:rsidR="00F66815">
              <w:rPr>
                <w:sz w:val="24"/>
                <w:szCs w:val="24"/>
              </w:rPr>
              <w:t>me school. This will ensure the</w:t>
            </w:r>
            <w:r>
              <w:rPr>
                <w:sz w:val="24"/>
                <w:szCs w:val="24"/>
              </w:rPr>
              <w:t>y feel more familiar and confident with the setting.</w:t>
            </w:r>
          </w:p>
          <w:p w:rsidR="008654D2" w:rsidRPr="008654D2" w:rsidRDefault="008654D2" w:rsidP="008654D2"/>
        </w:tc>
        <w:tc>
          <w:tcPr>
            <w:tcW w:w="5363" w:type="dxa"/>
          </w:tcPr>
          <w:p w:rsidR="004411B8" w:rsidRDefault="004411B8" w:rsidP="00F95264">
            <w:pPr>
              <w:rPr>
                <w:sz w:val="24"/>
                <w:szCs w:val="24"/>
              </w:rPr>
            </w:pPr>
          </w:p>
          <w:p w:rsidR="008654D2" w:rsidRDefault="008654D2" w:rsidP="00F95264">
            <w:pPr>
              <w:rPr>
                <w:sz w:val="24"/>
                <w:szCs w:val="24"/>
              </w:rPr>
            </w:pPr>
          </w:p>
          <w:p w:rsidR="008654D2" w:rsidRDefault="008654D2" w:rsidP="00F95264">
            <w:pPr>
              <w:rPr>
                <w:sz w:val="24"/>
                <w:szCs w:val="24"/>
              </w:rPr>
            </w:pPr>
            <w:r>
              <w:rPr>
                <w:sz w:val="24"/>
                <w:szCs w:val="24"/>
              </w:rPr>
              <w:t>A video tour of the school is made and shared on the school website.</w:t>
            </w:r>
          </w:p>
          <w:p w:rsidR="008654D2" w:rsidRDefault="008654D2" w:rsidP="00F95264">
            <w:pPr>
              <w:rPr>
                <w:sz w:val="24"/>
                <w:szCs w:val="24"/>
              </w:rPr>
            </w:pPr>
          </w:p>
          <w:p w:rsidR="008654D2" w:rsidRDefault="008654D2" w:rsidP="00F95264">
            <w:pPr>
              <w:rPr>
                <w:color w:val="FF0000"/>
                <w:sz w:val="24"/>
                <w:szCs w:val="24"/>
              </w:rPr>
            </w:pPr>
            <w:r>
              <w:rPr>
                <w:sz w:val="24"/>
                <w:szCs w:val="24"/>
              </w:rPr>
              <w:t xml:space="preserve">                                                      </w:t>
            </w:r>
            <w:r w:rsidRPr="008654D2">
              <w:rPr>
                <w:color w:val="FF0000"/>
                <w:sz w:val="24"/>
                <w:szCs w:val="24"/>
              </w:rPr>
              <w:t xml:space="preserve">   No additional cost</w:t>
            </w:r>
          </w:p>
          <w:p w:rsidR="008654D2" w:rsidRDefault="008654D2" w:rsidP="00F95264">
            <w:pPr>
              <w:rPr>
                <w:color w:val="FF0000"/>
                <w:sz w:val="24"/>
                <w:szCs w:val="24"/>
              </w:rPr>
            </w:pPr>
          </w:p>
          <w:p w:rsidR="008654D2" w:rsidRPr="00082F2E" w:rsidRDefault="008654D2" w:rsidP="00F95264">
            <w:pPr>
              <w:rPr>
                <w:sz w:val="24"/>
                <w:szCs w:val="24"/>
              </w:rPr>
            </w:pPr>
            <w:r w:rsidRPr="00082F2E">
              <w:rPr>
                <w:sz w:val="24"/>
                <w:szCs w:val="24"/>
              </w:rPr>
              <w:t>Reception children will have a more phased approach to the start of school. They will attend with their parents/carers for a getting to know you session before small groups</w:t>
            </w:r>
            <w:r w:rsidR="00082F2E" w:rsidRPr="00082F2E">
              <w:rPr>
                <w:sz w:val="24"/>
                <w:szCs w:val="24"/>
              </w:rPr>
              <w:t xml:space="preserve"> start. The part time lead in sessions will be extended.</w:t>
            </w:r>
          </w:p>
          <w:p w:rsidR="00082F2E" w:rsidRDefault="00082F2E" w:rsidP="00F95264">
            <w:pPr>
              <w:rPr>
                <w:color w:val="FF0000"/>
                <w:sz w:val="24"/>
                <w:szCs w:val="24"/>
              </w:rPr>
            </w:pPr>
          </w:p>
          <w:p w:rsidR="00082F2E" w:rsidRPr="0063164C" w:rsidRDefault="00082F2E" w:rsidP="00F95264">
            <w:pPr>
              <w:rPr>
                <w:sz w:val="24"/>
                <w:szCs w:val="24"/>
              </w:rPr>
            </w:pPr>
            <w:r>
              <w:rPr>
                <w:color w:val="FF0000"/>
                <w:sz w:val="24"/>
                <w:szCs w:val="24"/>
              </w:rPr>
              <w:t xml:space="preserve">                                                         No additional cost</w:t>
            </w:r>
          </w:p>
        </w:tc>
        <w:tc>
          <w:tcPr>
            <w:tcW w:w="3260" w:type="dxa"/>
          </w:tcPr>
          <w:p w:rsidR="004411B8" w:rsidRPr="0063164C" w:rsidRDefault="004411B8" w:rsidP="00F95264">
            <w:pPr>
              <w:rPr>
                <w:sz w:val="24"/>
                <w:szCs w:val="24"/>
              </w:rPr>
            </w:pPr>
          </w:p>
        </w:tc>
        <w:tc>
          <w:tcPr>
            <w:tcW w:w="1276" w:type="dxa"/>
          </w:tcPr>
          <w:p w:rsidR="004411B8" w:rsidRDefault="004411B8" w:rsidP="00F95264">
            <w:pPr>
              <w:rPr>
                <w:sz w:val="24"/>
                <w:szCs w:val="24"/>
              </w:rPr>
            </w:pPr>
          </w:p>
          <w:p w:rsidR="00082F2E" w:rsidRDefault="00082F2E" w:rsidP="00F95264">
            <w:pPr>
              <w:rPr>
                <w:sz w:val="24"/>
                <w:szCs w:val="24"/>
              </w:rPr>
            </w:pPr>
          </w:p>
          <w:p w:rsidR="00082F2E" w:rsidRDefault="00082F2E" w:rsidP="00F95264">
            <w:pPr>
              <w:rPr>
                <w:sz w:val="24"/>
                <w:szCs w:val="24"/>
              </w:rPr>
            </w:pPr>
            <w:r>
              <w:rPr>
                <w:sz w:val="24"/>
                <w:szCs w:val="24"/>
              </w:rPr>
              <w:t>JD/KW</w:t>
            </w:r>
          </w:p>
          <w:p w:rsidR="00082F2E" w:rsidRDefault="00082F2E" w:rsidP="00F95264">
            <w:pPr>
              <w:rPr>
                <w:sz w:val="24"/>
                <w:szCs w:val="24"/>
              </w:rPr>
            </w:pPr>
          </w:p>
          <w:p w:rsidR="00082F2E" w:rsidRDefault="00082F2E" w:rsidP="00F95264">
            <w:pPr>
              <w:rPr>
                <w:sz w:val="24"/>
                <w:szCs w:val="24"/>
              </w:rPr>
            </w:pPr>
          </w:p>
          <w:p w:rsidR="00082F2E" w:rsidRDefault="00082F2E" w:rsidP="00F95264">
            <w:pPr>
              <w:rPr>
                <w:sz w:val="24"/>
                <w:szCs w:val="24"/>
              </w:rPr>
            </w:pPr>
          </w:p>
          <w:p w:rsidR="00082F2E" w:rsidRDefault="00082F2E" w:rsidP="00F95264">
            <w:pPr>
              <w:rPr>
                <w:sz w:val="24"/>
                <w:szCs w:val="24"/>
              </w:rPr>
            </w:pPr>
          </w:p>
          <w:p w:rsidR="00082F2E" w:rsidRPr="0063164C" w:rsidRDefault="00082F2E" w:rsidP="00F95264">
            <w:pPr>
              <w:rPr>
                <w:sz w:val="24"/>
                <w:szCs w:val="24"/>
              </w:rPr>
            </w:pPr>
            <w:r>
              <w:rPr>
                <w:sz w:val="24"/>
                <w:szCs w:val="24"/>
              </w:rPr>
              <w:t>EB/KC/NM</w:t>
            </w:r>
          </w:p>
        </w:tc>
        <w:tc>
          <w:tcPr>
            <w:tcW w:w="1501" w:type="dxa"/>
          </w:tcPr>
          <w:p w:rsidR="004411B8" w:rsidRDefault="004411B8" w:rsidP="00F95264">
            <w:pPr>
              <w:rPr>
                <w:sz w:val="24"/>
                <w:szCs w:val="24"/>
              </w:rPr>
            </w:pPr>
          </w:p>
          <w:p w:rsidR="00082F2E" w:rsidRDefault="00082F2E" w:rsidP="00F95264">
            <w:pPr>
              <w:rPr>
                <w:sz w:val="24"/>
                <w:szCs w:val="24"/>
              </w:rPr>
            </w:pPr>
          </w:p>
          <w:p w:rsidR="00082F2E" w:rsidRPr="0063164C" w:rsidRDefault="00082F2E" w:rsidP="00F95264">
            <w:pPr>
              <w:rPr>
                <w:sz w:val="24"/>
                <w:szCs w:val="24"/>
              </w:rPr>
            </w:pPr>
          </w:p>
        </w:tc>
      </w:tr>
      <w:tr w:rsidR="00BF173B" w:rsidTr="00A22B1E">
        <w:tc>
          <w:tcPr>
            <w:tcW w:w="13887" w:type="dxa"/>
            <w:gridSpan w:val="4"/>
          </w:tcPr>
          <w:p w:rsidR="00BF173B" w:rsidRDefault="00BF173B" w:rsidP="00BF173B">
            <w:pPr>
              <w:jc w:val="right"/>
              <w:rPr>
                <w:sz w:val="24"/>
                <w:szCs w:val="24"/>
              </w:rPr>
            </w:pPr>
          </w:p>
          <w:p w:rsidR="00BF173B" w:rsidRPr="00BF173B" w:rsidRDefault="00BF173B" w:rsidP="00BF173B">
            <w:pPr>
              <w:jc w:val="right"/>
              <w:rPr>
                <w:sz w:val="28"/>
                <w:szCs w:val="28"/>
              </w:rPr>
            </w:pPr>
            <w:r w:rsidRPr="00BF173B">
              <w:rPr>
                <w:sz w:val="28"/>
                <w:szCs w:val="28"/>
              </w:rPr>
              <w:t xml:space="preserve">Total budgeted cost </w:t>
            </w:r>
          </w:p>
        </w:tc>
        <w:tc>
          <w:tcPr>
            <w:tcW w:w="1501" w:type="dxa"/>
          </w:tcPr>
          <w:p w:rsidR="00BF173B" w:rsidRDefault="00BF173B" w:rsidP="00F95264">
            <w:pPr>
              <w:rPr>
                <w:sz w:val="28"/>
                <w:szCs w:val="28"/>
              </w:rPr>
            </w:pPr>
          </w:p>
          <w:p w:rsidR="006568A9" w:rsidRPr="006568A9" w:rsidRDefault="006568A9" w:rsidP="00F95264">
            <w:pPr>
              <w:rPr>
                <w:color w:val="FF0000"/>
                <w:sz w:val="28"/>
                <w:szCs w:val="28"/>
              </w:rPr>
            </w:pPr>
            <w:r>
              <w:rPr>
                <w:color w:val="FF0000"/>
                <w:sz w:val="28"/>
                <w:szCs w:val="28"/>
              </w:rPr>
              <w:t>£981</w:t>
            </w:r>
          </w:p>
        </w:tc>
      </w:tr>
    </w:tbl>
    <w:p w:rsidR="0059460C" w:rsidRDefault="0059460C" w:rsidP="00F95264">
      <w:pPr>
        <w:rPr>
          <w:sz w:val="28"/>
          <w:szCs w:val="28"/>
        </w:rPr>
      </w:pPr>
    </w:p>
    <w:tbl>
      <w:tblPr>
        <w:tblStyle w:val="TableGrid"/>
        <w:tblW w:w="0" w:type="auto"/>
        <w:tblLook w:val="04A0" w:firstRow="1" w:lastRow="0" w:firstColumn="1" w:lastColumn="0" w:noHBand="0" w:noVBand="1"/>
      </w:tblPr>
      <w:tblGrid>
        <w:gridCol w:w="3964"/>
        <w:gridCol w:w="5387"/>
        <w:gridCol w:w="3118"/>
        <w:gridCol w:w="1418"/>
        <w:gridCol w:w="1501"/>
      </w:tblGrid>
      <w:tr w:rsidR="00BF173B" w:rsidTr="00A438D2">
        <w:tc>
          <w:tcPr>
            <w:tcW w:w="15388" w:type="dxa"/>
            <w:gridSpan w:val="5"/>
            <w:shd w:val="clear" w:color="auto" w:fill="D9D9D9" w:themeFill="background1" w:themeFillShade="D9"/>
          </w:tcPr>
          <w:p w:rsidR="00BF173B" w:rsidRDefault="00A438D2" w:rsidP="00F95264">
            <w:pPr>
              <w:rPr>
                <w:sz w:val="28"/>
                <w:szCs w:val="28"/>
              </w:rPr>
            </w:pPr>
            <w:r>
              <w:rPr>
                <w:sz w:val="28"/>
                <w:szCs w:val="28"/>
              </w:rPr>
              <w:t>II. Targeted approaches</w:t>
            </w:r>
          </w:p>
        </w:tc>
      </w:tr>
      <w:tr w:rsidR="00A438D2" w:rsidTr="00A438D2">
        <w:tc>
          <w:tcPr>
            <w:tcW w:w="3964" w:type="dxa"/>
          </w:tcPr>
          <w:p w:rsidR="00A438D2" w:rsidRPr="0063164C" w:rsidRDefault="00A438D2" w:rsidP="00A438D2">
            <w:pPr>
              <w:rPr>
                <w:sz w:val="24"/>
                <w:szCs w:val="24"/>
              </w:rPr>
            </w:pPr>
            <w:r>
              <w:rPr>
                <w:sz w:val="24"/>
                <w:szCs w:val="24"/>
              </w:rPr>
              <w:lastRenderedPageBreak/>
              <w:t>Desired Outcome</w:t>
            </w:r>
          </w:p>
        </w:tc>
        <w:tc>
          <w:tcPr>
            <w:tcW w:w="5387" w:type="dxa"/>
          </w:tcPr>
          <w:p w:rsidR="00A438D2" w:rsidRPr="0063164C" w:rsidRDefault="00A438D2" w:rsidP="00A438D2">
            <w:pPr>
              <w:rPr>
                <w:sz w:val="24"/>
                <w:szCs w:val="24"/>
              </w:rPr>
            </w:pPr>
            <w:r>
              <w:rPr>
                <w:sz w:val="24"/>
                <w:szCs w:val="24"/>
              </w:rPr>
              <w:t>Chosen approach and anticipated cost</w:t>
            </w:r>
          </w:p>
        </w:tc>
        <w:tc>
          <w:tcPr>
            <w:tcW w:w="3118" w:type="dxa"/>
          </w:tcPr>
          <w:p w:rsidR="00A438D2" w:rsidRPr="0063164C" w:rsidRDefault="00A438D2" w:rsidP="00A438D2">
            <w:pPr>
              <w:rPr>
                <w:sz w:val="24"/>
                <w:szCs w:val="24"/>
              </w:rPr>
            </w:pPr>
            <w:r>
              <w:rPr>
                <w:sz w:val="24"/>
                <w:szCs w:val="24"/>
              </w:rPr>
              <w:t>Impact (once reviewed)</w:t>
            </w:r>
          </w:p>
        </w:tc>
        <w:tc>
          <w:tcPr>
            <w:tcW w:w="1418" w:type="dxa"/>
          </w:tcPr>
          <w:p w:rsidR="00A438D2" w:rsidRPr="0063164C" w:rsidRDefault="00A438D2" w:rsidP="00A438D2">
            <w:pPr>
              <w:rPr>
                <w:sz w:val="24"/>
                <w:szCs w:val="24"/>
              </w:rPr>
            </w:pPr>
            <w:r>
              <w:rPr>
                <w:sz w:val="24"/>
                <w:szCs w:val="24"/>
              </w:rPr>
              <w:t>Staff lead</w:t>
            </w:r>
          </w:p>
        </w:tc>
        <w:tc>
          <w:tcPr>
            <w:tcW w:w="1501" w:type="dxa"/>
          </w:tcPr>
          <w:p w:rsidR="00A438D2" w:rsidRPr="0063164C" w:rsidRDefault="00A438D2" w:rsidP="00A438D2">
            <w:pPr>
              <w:rPr>
                <w:sz w:val="24"/>
                <w:szCs w:val="24"/>
              </w:rPr>
            </w:pPr>
            <w:r>
              <w:rPr>
                <w:sz w:val="24"/>
                <w:szCs w:val="24"/>
              </w:rPr>
              <w:t>Review date</w:t>
            </w:r>
          </w:p>
        </w:tc>
      </w:tr>
      <w:tr w:rsidR="00A438D2" w:rsidTr="00A438D2">
        <w:tc>
          <w:tcPr>
            <w:tcW w:w="3964" w:type="dxa"/>
          </w:tcPr>
          <w:p w:rsidR="00A438D2" w:rsidRDefault="00A438D2" w:rsidP="00A438D2">
            <w:pPr>
              <w:rPr>
                <w:sz w:val="24"/>
                <w:szCs w:val="24"/>
                <w:u w:val="single"/>
              </w:rPr>
            </w:pPr>
            <w:r w:rsidRPr="00A438D2">
              <w:rPr>
                <w:sz w:val="24"/>
                <w:szCs w:val="24"/>
                <w:u w:val="single"/>
              </w:rPr>
              <w:t>1-to-1 and small group tuition</w:t>
            </w:r>
          </w:p>
          <w:p w:rsidR="00E439C4" w:rsidRPr="00E439C4" w:rsidRDefault="00E439C4" w:rsidP="00A438D2">
            <w:pPr>
              <w:rPr>
                <w:sz w:val="24"/>
                <w:szCs w:val="24"/>
              </w:rPr>
            </w:pPr>
            <w:r>
              <w:rPr>
                <w:sz w:val="24"/>
                <w:szCs w:val="24"/>
              </w:rPr>
              <w:t>Use Nationa</w:t>
            </w:r>
            <w:r w:rsidRPr="00E439C4">
              <w:rPr>
                <w:sz w:val="24"/>
                <w:szCs w:val="24"/>
              </w:rPr>
              <w:t>l Tutoring Programme to allow identified Year 5 children to access one to one maths tuition.</w:t>
            </w:r>
          </w:p>
          <w:p w:rsidR="000C0D77" w:rsidRDefault="000C0D77" w:rsidP="00A438D2">
            <w:pPr>
              <w:rPr>
                <w:sz w:val="24"/>
                <w:szCs w:val="24"/>
                <w:u w:val="single"/>
              </w:rPr>
            </w:pPr>
          </w:p>
          <w:p w:rsidR="000C0D77" w:rsidRDefault="000C0D77" w:rsidP="00A438D2">
            <w:pPr>
              <w:rPr>
                <w:sz w:val="24"/>
                <w:szCs w:val="24"/>
                <w:u w:val="single"/>
              </w:rPr>
            </w:pPr>
          </w:p>
          <w:p w:rsidR="00A438D2" w:rsidRPr="00A438D2" w:rsidRDefault="00A438D2" w:rsidP="00A438D2">
            <w:pPr>
              <w:rPr>
                <w:sz w:val="24"/>
                <w:szCs w:val="24"/>
                <w:u w:val="single"/>
              </w:rPr>
            </w:pPr>
          </w:p>
        </w:tc>
        <w:tc>
          <w:tcPr>
            <w:tcW w:w="5387" w:type="dxa"/>
          </w:tcPr>
          <w:p w:rsidR="00A438D2" w:rsidRDefault="00A438D2" w:rsidP="00A438D2">
            <w:pPr>
              <w:rPr>
                <w:sz w:val="28"/>
                <w:szCs w:val="28"/>
              </w:rPr>
            </w:pPr>
          </w:p>
          <w:p w:rsidR="00E439C4" w:rsidRDefault="00E439C4" w:rsidP="00A438D2">
            <w:pPr>
              <w:rPr>
                <w:sz w:val="24"/>
                <w:szCs w:val="24"/>
              </w:rPr>
            </w:pPr>
            <w:r>
              <w:rPr>
                <w:sz w:val="24"/>
                <w:szCs w:val="24"/>
              </w:rPr>
              <w:t>Identify Year 5 children who were just below Age Related Expectations at Dec 19 but had slipped back by September data catch. Use Third Space Learning for these children to have individual weekly tuition.</w:t>
            </w:r>
          </w:p>
          <w:p w:rsidR="00E439C4" w:rsidRDefault="00E439C4" w:rsidP="00A438D2">
            <w:pPr>
              <w:rPr>
                <w:sz w:val="24"/>
                <w:szCs w:val="24"/>
              </w:rPr>
            </w:pPr>
          </w:p>
          <w:p w:rsidR="00E439C4" w:rsidRPr="00E439C4" w:rsidRDefault="00E439C4" w:rsidP="00E439C4">
            <w:pPr>
              <w:jc w:val="right"/>
              <w:rPr>
                <w:sz w:val="24"/>
                <w:szCs w:val="24"/>
              </w:rPr>
            </w:pPr>
            <w:r>
              <w:rPr>
                <w:sz w:val="24"/>
                <w:szCs w:val="24"/>
              </w:rPr>
              <w:t xml:space="preserve">                               </w:t>
            </w:r>
            <w:r w:rsidRPr="00E439C4">
              <w:rPr>
                <w:color w:val="FF0000"/>
                <w:sz w:val="24"/>
                <w:szCs w:val="24"/>
              </w:rPr>
              <w:t xml:space="preserve">Cost £330 </w:t>
            </w:r>
          </w:p>
        </w:tc>
        <w:tc>
          <w:tcPr>
            <w:tcW w:w="3118" w:type="dxa"/>
          </w:tcPr>
          <w:p w:rsidR="00A438D2" w:rsidRDefault="00A438D2" w:rsidP="00A438D2">
            <w:pPr>
              <w:rPr>
                <w:sz w:val="28"/>
                <w:szCs w:val="28"/>
              </w:rPr>
            </w:pPr>
          </w:p>
        </w:tc>
        <w:tc>
          <w:tcPr>
            <w:tcW w:w="1418" w:type="dxa"/>
          </w:tcPr>
          <w:p w:rsidR="00A438D2" w:rsidRDefault="00A438D2" w:rsidP="00A438D2">
            <w:pPr>
              <w:rPr>
                <w:sz w:val="28"/>
                <w:szCs w:val="28"/>
              </w:rPr>
            </w:pPr>
          </w:p>
        </w:tc>
        <w:tc>
          <w:tcPr>
            <w:tcW w:w="1501" w:type="dxa"/>
          </w:tcPr>
          <w:p w:rsidR="00A438D2" w:rsidRDefault="00A438D2" w:rsidP="00A438D2">
            <w:pPr>
              <w:rPr>
                <w:sz w:val="28"/>
                <w:szCs w:val="28"/>
              </w:rPr>
            </w:pPr>
          </w:p>
        </w:tc>
      </w:tr>
      <w:tr w:rsidR="00A438D2" w:rsidTr="00A438D2">
        <w:tc>
          <w:tcPr>
            <w:tcW w:w="3964" w:type="dxa"/>
          </w:tcPr>
          <w:p w:rsidR="00A438D2" w:rsidRDefault="00A438D2" w:rsidP="00A438D2">
            <w:pPr>
              <w:rPr>
                <w:sz w:val="24"/>
                <w:szCs w:val="24"/>
                <w:u w:val="single"/>
              </w:rPr>
            </w:pPr>
            <w:r w:rsidRPr="00A438D2">
              <w:rPr>
                <w:sz w:val="24"/>
                <w:szCs w:val="24"/>
                <w:u w:val="single"/>
              </w:rPr>
              <w:t>Intervention programme</w:t>
            </w:r>
          </w:p>
          <w:p w:rsidR="00A438D2" w:rsidRDefault="00A438D2" w:rsidP="00A438D2">
            <w:pPr>
              <w:rPr>
                <w:sz w:val="24"/>
                <w:szCs w:val="24"/>
                <w:u w:val="single"/>
              </w:rPr>
            </w:pPr>
          </w:p>
          <w:p w:rsidR="00A438D2" w:rsidRDefault="00A438D2" w:rsidP="00A438D2">
            <w:pPr>
              <w:rPr>
                <w:sz w:val="24"/>
                <w:szCs w:val="24"/>
              </w:rPr>
            </w:pPr>
            <w:r w:rsidRPr="000C0D77">
              <w:rPr>
                <w:sz w:val="24"/>
                <w:szCs w:val="24"/>
              </w:rPr>
              <w:t>To support identified children in reinforcing reading skills</w:t>
            </w:r>
            <w:r w:rsidR="000C0D77" w:rsidRPr="000C0D77">
              <w:rPr>
                <w:sz w:val="24"/>
                <w:szCs w:val="24"/>
              </w:rPr>
              <w:t xml:space="preserve"> so that rapid progress can be made.</w:t>
            </w:r>
          </w:p>
          <w:p w:rsidR="000C0D77" w:rsidRDefault="000C0D77" w:rsidP="00A438D2">
            <w:pPr>
              <w:rPr>
                <w:sz w:val="24"/>
                <w:szCs w:val="24"/>
              </w:rPr>
            </w:pPr>
          </w:p>
          <w:p w:rsidR="000C0D77" w:rsidRDefault="000C0D77" w:rsidP="00A438D2">
            <w:pPr>
              <w:rPr>
                <w:sz w:val="24"/>
                <w:szCs w:val="24"/>
              </w:rPr>
            </w:pPr>
          </w:p>
          <w:p w:rsidR="000C0D77" w:rsidRDefault="000C0D77" w:rsidP="00A438D2">
            <w:pPr>
              <w:rPr>
                <w:sz w:val="24"/>
                <w:szCs w:val="24"/>
              </w:rPr>
            </w:pPr>
          </w:p>
          <w:p w:rsidR="000C0D77" w:rsidRDefault="000C0D77" w:rsidP="00A438D2">
            <w:pPr>
              <w:rPr>
                <w:sz w:val="24"/>
                <w:szCs w:val="24"/>
              </w:rPr>
            </w:pPr>
          </w:p>
          <w:p w:rsidR="000C0D77" w:rsidRDefault="000C0D77" w:rsidP="00A438D2">
            <w:pPr>
              <w:rPr>
                <w:sz w:val="24"/>
                <w:szCs w:val="24"/>
              </w:rPr>
            </w:pPr>
          </w:p>
          <w:p w:rsidR="000C0D77" w:rsidRDefault="000C0D77" w:rsidP="00A438D2">
            <w:pPr>
              <w:rPr>
                <w:sz w:val="24"/>
                <w:szCs w:val="24"/>
              </w:rPr>
            </w:pPr>
            <w:r>
              <w:rPr>
                <w:sz w:val="24"/>
                <w:szCs w:val="24"/>
              </w:rPr>
              <w:t xml:space="preserve">To develop maths skills using a manipulatives programme so that children can made rapid progress towards pre </w:t>
            </w:r>
            <w:proofErr w:type="spellStart"/>
            <w:r>
              <w:rPr>
                <w:sz w:val="24"/>
                <w:szCs w:val="24"/>
              </w:rPr>
              <w:t>Covid</w:t>
            </w:r>
            <w:proofErr w:type="spellEnd"/>
            <w:r>
              <w:rPr>
                <w:sz w:val="24"/>
                <w:szCs w:val="24"/>
              </w:rPr>
              <w:t xml:space="preserve"> levels</w:t>
            </w:r>
            <w:r w:rsidR="006568A9">
              <w:rPr>
                <w:sz w:val="24"/>
                <w:szCs w:val="24"/>
              </w:rPr>
              <w:t xml:space="preserve"> of attainment</w:t>
            </w:r>
          </w:p>
          <w:p w:rsidR="000C0D77" w:rsidRDefault="000C0D77" w:rsidP="00A438D2">
            <w:pPr>
              <w:rPr>
                <w:sz w:val="24"/>
                <w:szCs w:val="24"/>
              </w:rPr>
            </w:pPr>
          </w:p>
          <w:p w:rsidR="000C0D77" w:rsidRDefault="000C0D77" w:rsidP="00A438D2">
            <w:pPr>
              <w:rPr>
                <w:sz w:val="24"/>
                <w:szCs w:val="24"/>
              </w:rPr>
            </w:pPr>
          </w:p>
          <w:p w:rsidR="000C0D77" w:rsidRDefault="000C0D77" w:rsidP="00A438D2">
            <w:pPr>
              <w:rPr>
                <w:sz w:val="24"/>
                <w:szCs w:val="24"/>
              </w:rPr>
            </w:pPr>
            <w:r>
              <w:rPr>
                <w:sz w:val="24"/>
                <w:szCs w:val="24"/>
              </w:rPr>
              <w:t xml:space="preserve">To use Third Space Learning research programme to </w:t>
            </w:r>
            <w:r w:rsidR="00E439C4">
              <w:rPr>
                <w:sz w:val="24"/>
                <w:szCs w:val="24"/>
              </w:rPr>
              <w:t xml:space="preserve">allow specified Pupil Premium children in Y6 </w:t>
            </w:r>
            <w:proofErr w:type="gramStart"/>
            <w:r w:rsidR="00E439C4">
              <w:rPr>
                <w:sz w:val="24"/>
                <w:szCs w:val="24"/>
              </w:rPr>
              <w:t>to  have</w:t>
            </w:r>
            <w:proofErr w:type="gramEnd"/>
            <w:r w:rsidR="00E439C4">
              <w:rPr>
                <w:sz w:val="24"/>
                <w:szCs w:val="24"/>
              </w:rPr>
              <w:t xml:space="preserve"> individualised support and make progress in maths.</w:t>
            </w:r>
          </w:p>
          <w:p w:rsidR="006568A9" w:rsidRDefault="006568A9" w:rsidP="00A438D2">
            <w:pPr>
              <w:rPr>
                <w:sz w:val="24"/>
                <w:szCs w:val="24"/>
              </w:rPr>
            </w:pPr>
          </w:p>
          <w:p w:rsidR="006568A9" w:rsidRDefault="006568A9" w:rsidP="00A438D2">
            <w:pPr>
              <w:rPr>
                <w:sz w:val="24"/>
                <w:szCs w:val="24"/>
              </w:rPr>
            </w:pPr>
          </w:p>
          <w:p w:rsidR="006568A9" w:rsidRDefault="006568A9" w:rsidP="006568A9">
            <w:pPr>
              <w:rPr>
                <w:sz w:val="24"/>
                <w:szCs w:val="24"/>
              </w:rPr>
            </w:pPr>
            <w:r>
              <w:rPr>
                <w:sz w:val="24"/>
                <w:szCs w:val="24"/>
              </w:rPr>
              <w:t xml:space="preserve">Improve the communication skills of children entering reception to enable </w:t>
            </w:r>
            <w:r>
              <w:rPr>
                <w:sz w:val="24"/>
                <w:szCs w:val="24"/>
              </w:rPr>
              <w:lastRenderedPageBreak/>
              <w:t>them to access the EYFS curriculum and enhance progress</w:t>
            </w:r>
          </w:p>
          <w:p w:rsidR="0025148B" w:rsidRDefault="0025148B" w:rsidP="006568A9">
            <w:pPr>
              <w:rPr>
                <w:sz w:val="24"/>
                <w:szCs w:val="24"/>
              </w:rPr>
            </w:pPr>
          </w:p>
          <w:p w:rsidR="0025148B" w:rsidRPr="000C0D77" w:rsidRDefault="0025148B" w:rsidP="0025148B">
            <w:pPr>
              <w:rPr>
                <w:sz w:val="24"/>
                <w:szCs w:val="24"/>
              </w:rPr>
            </w:pPr>
            <w:r>
              <w:rPr>
                <w:sz w:val="24"/>
                <w:szCs w:val="24"/>
              </w:rPr>
              <w:t xml:space="preserve">Provide additional small group tuition for mathematics to be delivered in-house by Maths lead so that which children to be targeted can be as flexible and </w:t>
            </w:r>
            <w:r w:rsidR="00731084">
              <w:rPr>
                <w:sz w:val="24"/>
                <w:szCs w:val="24"/>
              </w:rPr>
              <w:t>maximum impact achieved.</w:t>
            </w:r>
          </w:p>
        </w:tc>
        <w:tc>
          <w:tcPr>
            <w:tcW w:w="5387" w:type="dxa"/>
          </w:tcPr>
          <w:p w:rsidR="00A438D2" w:rsidRDefault="00A438D2" w:rsidP="00A438D2">
            <w:pPr>
              <w:rPr>
                <w:sz w:val="28"/>
                <w:szCs w:val="28"/>
              </w:rPr>
            </w:pPr>
          </w:p>
          <w:p w:rsidR="000C0D77" w:rsidRDefault="000C0D77" w:rsidP="00A438D2">
            <w:pPr>
              <w:rPr>
                <w:sz w:val="28"/>
                <w:szCs w:val="28"/>
              </w:rPr>
            </w:pPr>
          </w:p>
          <w:p w:rsidR="000C0D77" w:rsidRDefault="000C0D77" w:rsidP="00A438D2">
            <w:pPr>
              <w:rPr>
                <w:sz w:val="24"/>
                <w:szCs w:val="24"/>
              </w:rPr>
            </w:pPr>
            <w:r>
              <w:rPr>
                <w:sz w:val="24"/>
                <w:szCs w:val="24"/>
              </w:rPr>
              <w:t xml:space="preserve">Purchase </w:t>
            </w:r>
            <w:proofErr w:type="spellStart"/>
            <w:r>
              <w:rPr>
                <w:sz w:val="24"/>
                <w:szCs w:val="24"/>
              </w:rPr>
              <w:t>Lexia</w:t>
            </w:r>
            <w:proofErr w:type="spellEnd"/>
            <w:r>
              <w:rPr>
                <w:sz w:val="24"/>
                <w:szCs w:val="24"/>
              </w:rPr>
              <w:t xml:space="preserve"> for 2 years as a whole school reading intervention. Initially roll this out to 10 children in each year group from 2-6 identified from initial data analysis in October.</w:t>
            </w:r>
          </w:p>
          <w:p w:rsidR="000C0D77" w:rsidRDefault="000C0D77" w:rsidP="00A438D2">
            <w:pPr>
              <w:rPr>
                <w:sz w:val="24"/>
                <w:szCs w:val="24"/>
              </w:rPr>
            </w:pPr>
          </w:p>
          <w:p w:rsidR="000C0D77" w:rsidRDefault="000C0D77" w:rsidP="000C0D77">
            <w:pPr>
              <w:jc w:val="right"/>
              <w:rPr>
                <w:color w:val="FF0000"/>
                <w:sz w:val="24"/>
                <w:szCs w:val="24"/>
              </w:rPr>
            </w:pPr>
            <w:r w:rsidRPr="000C0D77">
              <w:rPr>
                <w:color w:val="FF0000"/>
                <w:sz w:val="24"/>
                <w:szCs w:val="24"/>
              </w:rPr>
              <w:t>Cost £2700 ( for 2 years, 50 licences)</w:t>
            </w:r>
          </w:p>
          <w:p w:rsidR="000C0D77" w:rsidRDefault="000C0D77" w:rsidP="000C0D77">
            <w:pPr>
              <w:jc w:val="right"/>
              <w:rPr>
                <w:color w:val="FF0000"/>
                <w:sz w:val="24"/>
                <w:szCs w:val="24"/>
              </w:rPr>
            </w:pPr>
          </w:p>
          <w:p w:rsidR="000C0D77" w:rsidRDefault="000C0D77" w:rsidP="000C0D77">
            <w:pPr>
              <w:rPr>
                <w:color w:val="FF0000"/>
                <w:sz w:val="24"/>
                <w:szCs w:val="24"/>
              </w:rPr>
            </w:pPr>
          </w:p>
          <w:p w:rsidR="000C0D77" w:rsidRPr="000C0D77" w:rsidRDefault="000C0D77" w:rsidP="000C0D77">
            <w:pPr>
              <w:rPr>
                <w:sz w:val="24"/>
                <w:szCs w:val="24"/>
              </w:rPr>
            </w:pPr>
            <w:r w:rsidRPr="000C0D77">
              <w:rPr>
                <w:sz w:val="24"/>
                <w:szCs w:val="24"/>
              </w:rPr>
              <w:t>Purchase Number</w:t>
            </w:r>
            <w:r w:rsidR="00E439C4">
              <w:rPr>
                <w:sz w:val="24"/>
                <w:szCs w:val="24"/>
              </w:rPr>
              <w:t xml:space="preserve"> </w:t>
            </w:r>
            <w:r w:rsidRPr="000C0D77">
              <w:rPr>
                <w:sz w:val="24"/>
                <w:szCs w:val="24"/>
              </w:rPr>
              <w:t>stacks intervention programme to be used by teachers and TAs in small group interventions.</w:t>
            </w:r>
          </w:p>
          <w:p w:rsidR="000C0D77" w:rsidRDefault="000C0D77" w:rsidP="000C0D77">
            <w:pPr>
              <w:rPr>
                <w:color w:val="FF0000"/>
                <w:sz w:val="24"/>
                <w:szCs w:val="24"/>
              </w:rPr>
            </w:pPr>
          </w:p>
          <w:p w:rsidR="000C0D77" w:rsidRDefault="000C0D77" w:rsidP="000C0D77">
            <w:pPr>
              <w:rPr>
                <w:color w:val="FF0000"/>
                <w:sz w:val="24"/>
                <w:szCs w:val="24"/>
              </w:rPr>
            </w:pPr>
            <w:r>
              <w:rPr>
                <w:color w:val="FF0000"/>
                <w:sz w:val="24"/>
                <w:szCs w:val="24"/>
              </w:rPr>
              <w:t xml:space="preserve">                                                                      Cost £100</w:t>
            </w:r>
          </w:p>
          <w:p w:rsidR="00E439C4" w:rsidRDefault="00E439C4" w:rsidP="000C0D77">
            <w:pPr>
              <w:rPr>
                <w:color w:val="FF0000"/>
                <w:sz w:val="24"/>
                <w:szCs w:val="24"/>
              </w:rPr>
            </w:pPr>
          </w:p>
          <w:p w:rsidR="0025148B" w:rsidRDefault="0025148B" w:rsidP="000C0D77">
            <w:pPr>
              <w:rPr>
                <w:sz w:val="24"/>
                <w:szCs w:val="24"/>
              </w:rPr>
            </w:pPr>
          </w:p>
          <w:p w:rsidR="00E439C4" w:rsidRDefault="00E439C4" w:rsidP="000C0D77">
            <w:pPr>
              <w:rPr>
                <w:sz w:val="24"/>
                <w:szCs w:val="24"/>
              </w:rPr>
            </w:pPr>
            <w:r w:rsidRPr="00E439C4">
              <w:rPr>
                <w:sz w:val="24"/>
                <w:szCs w:val="24"/>
              </w:rPr>
              <w:t xml:space="preserve">Identify children to take part in research project </w:t>
            </w:r>
            <w:proofErr w:type="gramStart"/>
            <w:r w:rsidRPr="00E439C4">
              <w:rPr>
                <w:sz w:val="24"/>
                <w:szCs w:val="24"/>
              </w:rPr>
              <w:t>( 3</w:t>
            </w:r>
            <w:proofErr w:type="gramEnd"/>
            <w:r w:rsidRPr="00E439C4">
              <w:rPr>
                <w:sz w:val="24"/>
                <w:szCs w:val="24"/>
              </w:rPr>
              <w:t xml:space="preserve"> allocated places) and then </w:t>
            </w:r>
            <w:r w:rsidR="0025148B">
              <w:rPr>
                <w:sz w:val="24"/>
                <w:szCs w:val="24"/>
              </w:rPr>
              <w:t>allocate</w:t>
            </w:r>
            <w:r>
              <w:rPr>
                <w:sz w:val="24"/>
                <w:szCs w:val="24"/>
              </w:rPr>
              <w:t xml:space="preserve"> time for in school tuition.</w:t>
            </w:r>
          </w:p>
          <w:p w:rsidR="00E439C4" w:rsidRDefault="00E439C4" w:rsidP="000C0D77">
            <w:pPr>
              <w:rPr>
                <w:sz w:val="24"/>
                <w:szCs w:val="24"/>
              </w:rPr>
            </w:pPr>
          </w:p>
          <w:p w:rsidR="00E439C4" w:rsidRPr="00E439C4" w:rsidRDefault="00E439C4" w:rsidP="000C0D77">
            <w:pPr>
              <w:rPr>
                <w:color w:val="FF0000"/>
                <w:sz w:val="24"/>
                <w:szCs w:val="24"/>
              </w:rPr>
            </w:pPr>
            <w:r>
              <w:rPr>
                <w:sz w:val="24"/>
                <w:szCs w:val="24"/>
              </w:rPr>
              <w:t xml:space="preserve">                                                         </w:t>
            </w:r>
            <w:r>
              <w:rPr>
                <w:color w:val="FF0000"/>
                <w:sz w:val="24"/>
                <w:szCs w:val="24"/>
              </w:rPr>
              <w:t>No additional cost</w:t>
            </w:r>
          </w:p>
          <w:p w:rsidR="000C0D77" w:rsidRDefault="000C0D77" w:rsidP="00A438D2">
            <w:pPr>
              <w:rPr>
                <w:sz w:val="28"/>
                <w:szCs w:val="28"/>
              </w:rPr>
            </w:pPr>
          </w:p>
          <w:p w:rsidR="000C0D77" w:rsidRDefault="000C0D77" w:rsidP="00A438D2">
            <w:pPr>
              <w:rPr>
                <w:sz w:val="24"/>
                <w:szCs w:val="24"/>
              </w:rPr>
            </w:pPr>
          </w:p>
          <w:p w:rsidR="006568A9" w:rsidRDefault="006568A9" w:rsidP="00A438D2">
            <w:pPr>
              <w:rPr>
                <w:sz w:val="24"/>
                <w:szCs w:val="24"/>
              </w:rPr>
            </w:pPr>
            <w:r>
              <w:rPr>
                <w:sz w:val="24"/>
                <w:szCs w:val="24"/>
              </w:rPr>
              <w:t>Reception class staff to access the NELI training and deliver the intervention to identified children</w:t>
            </w:r>
          </w:p>
          <w:p w:rsidR="006568A9" w:rsidRDefault="006568A9" w:rsidP="00A438D2">
            <w:pPr>
              <w:rPr>
                <w:color w:val="FF0000"/>
                <w:sz w:val="24"/>
                <w:szCs w:val="24"/>
              </w:rPr>
            </w:pPr>
            <w:r>
              <w:rPr>
                <w:sz w:val="24"/>
                <w:szCs w:val="24"/>
              </w:rPr>
              <w:lastRenderedPageBreak/>
              <w:t xml:space="preserve">                                              </w:t>
            </w:r>
            <w:r>
              <w:rPr>
                <w:color w:val="FF0000"/>
                <w:sz w:val="24"/>
                <w:szCs w:val="24"/>
              </w:rPr>
              <w:t>Funded by Government</w:t>
            </w:r>
          </w:p>
          <w:p w:rsidR="0025148B" w:rsidRDefault="0025148B" w:rsidP="00A438D2">
            <w:pPr>
              <w:rPr>
                <w:color w:val="FF0000"/>
                <w:sz w:val="24"/>
                <w:szCs w:val="24"/>
              </w:rPr>
            </w:pPr>
          </w:p>
          <w:p w:rsidR="0025148B" w:rsidRDefault="0025148B" w:rsidP="00A438D2">
            <w:pPr>
              <w:rPr>
                <w:color w:val="FF0000"/>
                <w:sz w:val="24"/>
                <w:szCs w:val="24"/>
              </w:rPr>
            </w:pPr>
          </w:p>
          <w:p w:rsidR="0025148B" w:rsidRDefault="0025148B" w:rsidP="0025148B">
            <w:pPr>
              <w:rPr>
                <w:sz w:val="24"/>
                <w:szCs w:val="24"/>
              </w:rPr>
            </w:pPr>
            <w:r>
              <w:rPr>
                <w:sz w:val="24"/>
                <w:szCs w:val="24"/>
              </w:rPr>
              <w:t>Employ an additional teacher 3 days per week for PPA cover to allow maths lead to lead in-house intervention groups across the school for catch-up</w:t>
            </w:r>
          </w:p>
          <w:p w:rsidR="00731084" w:rsidRDefault="0025148B" w:rsidP="0025148B">
            <w:pPr>
              <w:rPr>
                <w:sz w:val="24"/>
                <w:szCs w:val="24"/>
              </w:rPr>
            </w:pPr>
            <w:r>
              <w:rPr>
                <w:sz w:val="24"/>
                <w:szCs w:val="24"/>
              </w:rPr>
              <w:t xml:space="preserve">                                                                    </w:t>
            </w:r>
          </w:p>
          <w:p w:rsidR="00731084" w:rsidRDefault="00731084" w:rsidP="0025148B">
            <w:pPr>
              <w:rPr>
                <w:sz w:val="24"/>
                <w:szCs w:val="24"/>
              </w:rPr>
            </w:pPr>
          </w:p>
          <w:p w:rsidR="0025148B" w:rsidRPr="0025148B" w:rsidRDefault="00731084" w:rsidP="0025148B">
            <w:pPr>
              <w:rPr>
                <w:color w:val="FF0000"/>
                <w:sz w:val="24"/>
                <w:szCs w:val="24"/>
              </w:rPr>
            </w:pPr>
            <w:r>
              <w:rPr>
                <w:sz w:val="24"/>
                <w:szCs w:val="24"/>
              </w:rPr>
              <w:t xml:space="preserve">                                                                </w:t>
            </w:r>
            <w:r w:rsidR="0025148B">
              <w:rPr>
                <w:sz w:val="24"/>
                <w:szCs w:val="24"/>
              </w:rPr>
              <w:t xml:space="preserve"> </w:t>
            </w:r>
            <w:r w:rsidR="0025148B">
              <w:rPr>
                <w:color w:val="FF0000"/>
                <w:sz w:val="24"/>
                <w:szCs w:val="24"/>
              </w:rPr>
              <w:t>Cost £11,250</w:t>
            </w:r>
          </w:p>
        </w:tc>
        <w:tc>
          <w:tcPr>
            <w:tcW w:w="3118" w:type="dxa"/>
          </w:tcPr>
          <w:p w:rsidR="00A438D2" w:rsidRDefault="00A438D2" w:rsidP="00A438D2">
            <w:pPr>
              <w:rPr>
                <w:sz w:val="28"/>
                <w:szCs w:val="28"/>
              </w:rPr>
            </w:pPr>
          </w:p>
        </w:tc>
        <w:tc>
          <w:tcPr>
            <w:tcW w:w="1418" w:type="dxa"/>
          </w:tcPr>
          <w:p w:rsidR="00A438D2" w:rsidRPr="006568A9" w:rsidRDefault="00A438D2" w:rsidP="00A438D2">
            <w:pPr>
              <w:rPr>
                <w:sz w:val="24"/>
                <w:szCs w:val="24"/>
              </w:rPr>
            </w:pPr>
          </w:p>
          <w:p w:rsidR="006568A9" w:rsidRPr="006568A9" w:rsidRDefault="006568A9" w:rsidP="00A438D2">
            <w:pPr>
              <w:rPr>
                <w:sz w:val="24"/>
                <w:szCs w:val="24"/>
              </w:rPr>
            </w:pPr>
          </w:p>
          <w:p w:rsidR="006568A9" w:rsidRDefault="006568A9" w:rsidP="00A438D2">
            <w:pPr>
              <w:rPr>
                <w:sz w:val="24"/>
                <w:szCs w:val="24"/>
              </w:rPr>
            </w:pPr>
            <w:r w:rsidRPr="006568A9">
              <w:rPr>
                <w:sz w:val="24"/>
                <w:szCs w:val="24"/>
              </w:rPr>
              <w:t>KW/AL</w:t>
            </w:r>
          </w:p>
          <w:p w:rsidR="006568A9" w:rsidRDefault="006568A9" w:rsidP="00A438D2">
            <w:pPr>
              <w:rPr>
                <w:sz w:val="24"/>
                <w:szCs w:val="24"/>
              </w:rPr>
            </w:pPr>
          </w:p>
          <w:p w:rsidR="006568A9" w:rsidRDefault="006568A9" w:rsidP="00A438D2">
            <w:pPr>
              <w:rPr>
                <w:sz w:val="24"/>
                <w:szCs w:val="24"/>
              </w:rPr>
            </w:pPr>
          </w:p>
          <w:p w:rsidR="006568A9" w:rsidRDefault="006568A9" w:rsidP="00A438D2">
            <w:pPr>
              <w:rPr>
                <w:sz w:val="24"/>
                <w:szCs w:val="24"/>
              </w:rPr>
            </w:pPr>
          </w:p>
          <w:p w:rsidR="006568A9" w:rsidRDefault="006568A9" w:rsidP="00A438D2">
            <w:pPr>
              <w:rPr>
                <w:sz w:val="24"/>
                <w:szCs w:val="24"/>
              </w:rPr>
            </w:pPr>
          </w:p>
          <w:p w:rsidR="006568A9" w:rsidRDefault="006568A9" w:rsidP="00A438D2">
            <w:pPr>
              <w:rPr>
                <w:sz w:val="24"/>
                <w:szCs w:val="24"/>
              </w:rPr>
            </w:pPr>
          </w:p>
          <w:p w:rsidR="006568A9" w:rsidRDefault="006568A9" w:rsidP="00A438D2">
            <w:pPr>
              <w:rPr>
                <w:sz w:val="24"/>
                <w:szCs w:val="24"/>
              </w:rPr>
            </w:pPr>
          </w:p>
          <w:p w:rsidR="006568A9" w:rsidRDefault="006568A9" w:rsidP="00A438D2">
            <w:pPr>
              <w:rPr>
                <w:sz w:val="24"/>
                <w:szCs w:val="24"/>
              </w:rPr>
            </w:pPr>
          </w:p>
          <w:p w:rsidR="006568A9" w:rsidRDefault="0025148B" w:rsidP="00A438D2">
            <w:pPr>
              <w:rPr>
                <w:sz w:val="24"/>
                <w:szCs w:val="24"/>
              </w:rPr>
            </w:pPr>
            <w:r>
              <w:rPr>
                <w:sz w:val="24"/>
                <w:szCs w:val="24"/>
              </w:rPr>
              <w:t>JD</w:t>
            </w: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r>
              <w:rPr>
                <w:sz w:val="24"/>
                <w:szCs w:val="24"/>
              </w:rPr>
              <w:t>JD</w:t>
            </w: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r>
              <w:rPr>
                <w:sz w:val="24"/>
                <w:szCs w:val="24"/>
              </w:rPr>
              <w:t>JD/AK</w:t>
            </w:r>
          </w:p>
          <w:p w:rsidR="006568A9" w:rsidRPr="006568A9" w:rsidRDefault="006568A9" w:rsidP="00A438D2">
            <w:pPr>
              <w:rPr>
                <w:sz w:val="24"/>
                <w:szCs w:val="24"/>
              </w:rPr>
            </w:pPr>
          </w:p>
        </w:tc>
        <w:tc>
          <w:tcPr>
            <w:tcW w:w="1501" w:type="dxa"/>
          </w:tcPr>
          <w:p w:rsidR="00A438D2" w:rsidRDefault="00A438D2" w:rsidP="00A438D2">
            <w:pPr>
              <w:rPr>
                <w:sz w:val="24"/>
                <w:szCs w:val="24"/>
              </w:rPr>
            </w:pPr>
          </w:p>
          <w:p w:rsidR="006568A9" w:rsidRDefault="006568A9" w:rsidP="00A438D2">
            <w:pPr>
              <w:rPr>
                <w:sz w:val="24"/>
                <w:szCs w:val="24"/>
              </w:rPr>
            </w:pPr>
          </w:p>
          <w:p w:rsidR="006568A9" w:rsidRDefault="006568A9" w:rsidP="00A438D2">
            <w:pPr>
              <w:rPr>
                <w:sz w:val="24"/>
                <w:szCs w:val="24"/>
              </w:rPr>
            </w:pPr>
            <w:r>
              <w:rPr>
                <w:sz w:val="24"/>
                <w:szCs w:val="24"/>
              </w:rPr>
              <w:t>Termly</w:t>
            </w: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r>
              <w:rPr>
                <w:sz w:val="24"/>
                <w:szCs w:val="24"/>
              </w:rPr>
              <w:t>Termly</w:t>
            </w: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r>
              <w:rPr>
                <w:sz w:val="24"/>
                <w:szCs w:val="24"/>
              </w:rPr>
              <w:t>Termly</w:t>
            </w: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Default="0025148B" w:rsidP="00A438D2">
            <w:pPr>
              <w:rPr>
                <w:sz w:val="24"/>
                <w:szCs w:val="24"/>
              </w:rPr>
            </w:pPr>
          </w:p>
          <w:p w:rsidR="0025148B" w:rsidRPr="006568A9" w:rsidRDefault="0025148B" w:rsidP="00A438D2">
            <w:pPr>
              <w:rPr>
                <w:sz w:val="24"/>
                <w:szCs w:val="24"/>
              </w:rPr>
            </w:pPr>
            <w:r>
              <w:rPr>
                <w:sz w:val="24"/>
                <w:szCs w:val="24"/>
              </w:rPr>
              <w:t>On-going</w:t>
            </w:r>
          </w:p>
        </w:tc>
      </w:tr>
      <w:tr w:rsidR="00A438D2" w:rsidTr="00A438D2">
        <w:tc>
          <w:tcPr>
            <w:tcW w:w="3964" w:type="dxa"/>
          </w:tcPr>
          <w:p w:rsidR="00A438D2" w:rsidRDefault="00E439C4" w:rsidP="00A438D2">
            <w:pPr>
              <w:rPr>
                <w:sz w:val="24"/>
                <w:szCs w:val="24"/>
                <w:u w:val="single"/>
              </w:rPr>
            </w:pPr>
            <w:r w:rsidRPr="006568A9">
              <w:rPr>
                <w:sz w:val="24"/>
                <w:szCs w:val="24"/>
                <w:u w:val="single"/>
              </w:rPr>
              <w:lastRenderedPageBreak/>
              <w:t>Effective deployment of Teaching A</w:t>
            </w:r>
            <w:r w:rsidR="006568A9">
              <w:rPr>
                <w:sz w:val="24"/>
                <w:szCs w:val="24"/>
                <w:u w:val="single"/>
              </w:rPr>
              <w:t>ss</w:t>
            </w:r>
            <w:r w:rsidRPr="006568A9">
              <w:rPr>
                <w:sz w:val="24"/>
                <w:szCs w:val="24"/>
                <w:u w:val="single"/>
              </w:rPr>
              <w:t>istants</w:t>
            </w:r>
          </w:p>
          <w:p w:rsidR="006568A9" w:rsidRPr="006568A9" w:rsidRDefault="006568A9" w:rsidP="00A438D2">
            <w:pPr>
              <w:rPr>
                <w:sz w:val="24"/>
                <w:szCs w:val="24"/>
              </w:rPr>
            </w:pPr>
            <w:r>
              <w:rPr>
                <w:sz w:val="24"/>
                <w:szCs w:val="24"/>
              </w:rPr>
              <w:t>Re-structure existing staffing so that each year group has their own TA within their bubble to allow for in-class interventions and 1:1 support for specific learning objectives.</w:t>
            </w:r>
          </w:p>
        </w:tc>
        <w:tc>
          <w:tcPr>
            <w:tcW w:w="5387" w:type="dxa"/>
          </w:tcPr>
          <w:p w:rsidR="00A438D2" w:rsidRDefault="00A438D2" w:rsidP="00A438D2">
            <w:pPr>
              <w:rPr>
                <w:sz w:val="28"/>
                <w:szCs w:val="28"/>
              </w:rPr>
            </w:pPr>
          </w:p>
          <w:p w:rsidR="006568A9" w:rsidRDefault="006568A9" w:rsidP="00A438D2">
            <w:pPr>
              <w:rPr>
                <w:sz w:val="28"/>
                <w:szCs w:val="28"/>
              </w:rPr>
            </w:pPr>
          </w:p>
          <w:p w:rsidR="006568A9" w:rsidRPr="006568A9" w:rsidRDefault="006568A9" w:rsidP="00A438D2">
            <w:r>
              <w:t>Children iden</w:t>
            </w:r>
            <w:r w:rsidRPr="006568A9">
              <w:t xml:space="preserve">tified for </w:t>
            </w:r>
            <w:r>
              <w:t xml:space="preserve">support with specific learning objectives, as well as </w:t>
            </w:r>
            <w:proofErr w:type="gramStart"/>
            <w:r>
              <w:t>nurture ,</w:t>
            </w:r>
            <w:proofErr w:type="gramEnd"/>
            <w:r>
              <w:t xml:space="preserve"> may receive additional support from the TA at the direction and supervision of the class teacher.</w:t>
            </w:r>
          </w:p>
          <w:p w:rsidR="006568A9" w:rsidRDefault="006568A9" w:rsidP="00A438D2">
            <w:pPr>
              <w:rPr>
                <w:sz w:val="28"/>
                <w:szCs w:val="28"/>
              </w:rPr>
            </w:pPr>
          </w:p>
          <w:p w:rsidR="006568A9" w:rsidRPr="006568A9" w:rsidRDefault="006568A9" w:rsidP="00A438D2"/>
          <w:p w:rsidR="006568A9" w:rsidRDefault="006568A9" w:rsidP="00A438D2">
            <w:pPr>
              <w:rPr>
                <w:sz w:val="28"/>
                <w:szCs w:val="28"/>
              </w:rPr>
            </w:pPr>
            <w:r w:rsidRPr="006568A9">
              <w:t xml:space="preserve">                                             </w:t>
            </w:r>
            <w:r w:rsidRPr="006568A9">
              <w:rPr>
                <w:color w:val="FF0000"/>
              </w:rPr>
              <w:t>No additional cost</w:t>
            </w:r>
            <w:r>
              <w:rPr>
                <w:sz w:val="28"/>
                <w:szCs w:val="28"/>
              </w:rPr>
              <w:t xml:space="preserve">     </w:t>
            </w:r>
          </w:p>
        </w:tc>
        <w:tc>
          <w:tcPr>
            <w:tcW w:w="3118" w:type="dxa"/>
          </w:tcPr>
          <w:p w:rsidR="00A438D2" w:rsidRDefault="00A438D2" w:rsidP="00A438D2">
            <w:pPr>
              <w:rPr>
                <w:sz w:val="28"/>
                <w:szCs w:val="28"/>
              </w:rPr>
            </w:pPr>
          </w:p>
        </w:tc>
        <w:tc>
          <w:tcPr>
            <w:tcW w:w="1418" w:type="dxa"/>
          </w:tcPr>
          <w:p w:rsidR="00A438D2" w:rsidRDefault="00A438D2" w:rsidP="00A438D2">
            <w:pPr>
              <w:rPr>
                <w:sz w:val="24"/>
                <w:szCs w:val="24"/>
              </w:rPr>
            </w:pPr>
          </w:p>
          <w:p w:rsidR="00731084" w:rsidRDefault="00731084" w:rsidP="00A438D2">
            <w:pPr>
              <w:rPr>
                <w:sz w:val="24"/>
                <w:szCs w:val="24"/>
              </w:rPr>
            </w:pPr>
          </w:p>
          <w:p w:rsidR="00731084" w:rsidRPr="006568A9" w:rsidRDefault="00731084" w:rsidP="00A438D2">
            <w:pPr>
              <w:rPr>
                <w:sz w:val="24"/>
                <w:szCs w:val="24"/>
              </w:rPr>
            </w:pPr>
            <w:r>
              <w:rPr>
                <w:sz w:val="24"/>
                <w:szCs w:val="24"/>
              </w:rPr>
              <w:t>SLT</w:t>
            </w:r>
          </w:p>
        </w:tc>
        <w:tc>
          <w:tcPr>
            <w:tcW w:w="1501" w:type="dxa"/>
          </w:tcPr>
          <w:p w:rsidR="00A438D2" w:rsidRDefault="00A438D2" w:rsidP="00A438D2">
            <w:pPr>
              <w:rPr>
                <w:sz w:val="24"/>
                <w:szCs w:val="24"/>
              </w:rPr>
            </w:pPr>
          </w:p>
          <w:p w:rsidR="00731084" w:rsidRDefault="00731084" w:rsidP="00A438D2">
            <w:pPr>
              <w:rPr>
                <w:sz w:val="24"/>
                <w:szCs w:val="24"/>
              </w:rPr>
            </w:pPr>
          </w:p>
          <w:p w:rsidR="00731084" w:rsidRPr="006568A9" w:rsidRDefault="00731084" w:rsidP="00A438D2">
            <w:pPr>
              <w:rPr>
                <w:sz w:val="24"/>
                <w:szCs w:val="24"/>
              </w:rPr>
            </w:pPr>
            <w:r>
              <w:rPr>
                <w:sz w:val="24"/>
                <w:szCs w:val="24"/>
              </w:rPr>
              <w:t>On-going</w:t>
            </w:r>
          </w:p>
        </w:tc>
      </w:tr>
      <w:tr w:rsidR="00731084" w:rsidTr="001A2027">
        <w:tc>
          <w:tcPr>
            <w:tcW w:w="13887" w:type="dxa"/>
            <w:gridSpan w:val="4"/>
          </w:tcPr>
          <w:p w:rsidR="00731084" w:rsidRPr="00731084" w:rsidRDefault="00731084" w:rsidP="00A438D2">
            <w:pPr>
              <w:rPr>
                <w:sz w:val="28"/>
                <w:szCs w:val="28"/>
              </w:rPr>
            </w:pPr>
            <w:r w:rsidRPr="00731084">
              <w:rPr>
                <w:sz w:val="28"/>
                <w:szCs w:val="28"/>
              </w:rPr>
              <w:t xml:space="preserve">                                                                                                                                                                                                                       </w:t>
            </w:r>
          </w:p>
          <w:p w:rsidR="00731084" w:rsidRPr="00731084" w:rsidRDefault="00731084" w:rsidP="00A438D2">
            <w:pPr>
              <w:rPr>
                <w:sz w:val="28"/>
                <w:szCs w:val="28"/>
              </w:rPr>
            </w:pPr>
            <w:r w:rsidRPr="00731084">
              <w:rPr>
                <w:sz w:val="28"/>
                <w:szCs w:val="28"/>
              </w:rPr>
              <w:t xml:space="preserve"> </w:t>
            </w:r>
            <w:r>
              <w:rPr>
                <w:sz w:val="28"/>
                <w:szCs w:val="28"/>
              </w:rPr>
              <w:t xml:space="preserve">                                                                                                                                                                                  </w:t>
            </w:r>
            <w:r w:rsidRPr="00731084">
              <w:rPr>
                <w:sz w:val="28"/>
                <w:szCs w:val="28"/>
              </w:rPr>
              <w:t>Total budgeted cost</w:t>
            </w:r>
          </w:p>
        </w:tc>
        <w:tc>
          <w:tcPr>
            <w:tcW w:w="1501" w:type="dxa"/>
          </w:tcPr>
          <w:p w:rsidR="00731084" w:rsidRPr="00731084" w:rsidRDefault="00731084" w:rsidP="00A438D2">
            <w:pPr>
              <w:rPr>
                <w:color w:val="FF0000"/>
                <w:sz w:val="28"/>
                <w:szCs w:val="28"/>
              </w:rPr>
            </w:pPr>
          </w:p>
          <w:p w:rsidR="00731084" w:rsidRPr="00731084" w:rsidRDefault="00731084" w:rsidP="00A438D2">
            <w:pPr>
              <w:rPr>
                <w:color w:val="FF0000"/>
                <w:sz w:val="28"/>
                <w:szCs w:val="28"/>
              </w:rPr>
            </w:pPr>
            <w:r w:rsidRPr="00731084">
              <w:rPr>
                <w:color w:val="FF0000"/>
                <w:sz w:val="28"/>
                <w:szCs w:val="28"/>
              </w:rPr>
              <w:t>£14,380</w:t>
            </w:r>
          </w:p>
        </w:tc>
      </w:tr>
    </w:tbl>
    <w:p w:rsidR="00BF173B" w:rsidRDefault="00BF173B" w:rsidP="00F95264">
      <w:pPr>
        <w:rPr>
          <w:sz w:val="28"/>
          <w:szCs w:val="28"/>
        </w:rPr>
      </w:pPr>
    </w:p>
    <w:tbl>
      <w:tblPr>
        <w:tblStyle w:val="TableGrid"/>
        <w:tblW w:w="0" w:type="auto"/>
        <w:tblLook w:val="04A0" w:firstRow="1" w:lastRow="0" w:firstColumn="1" w:lastColumn="0" w:noHBand="0" w:noVBand="1"/>
      </w:tblPr>
      <w:tblGrid>
        <w:gridCol w:w="3964"/>
        <w:gridCol w:w="5387"/>
        <w:gridCol w:w="3118"/>
        <w:gridCol w:w="1418"/>
        <w:gridCol w:w="1501"/>
      </w:tblGrid>
      <w:tr w:rsidR="00731084" w:rsidTr="00862374">
        <w:tc>
          <w:tcPr>
            <w:tcW w:w="15388" w:type="dxa"/>
            <w:gridSpan w:val="5"/>
            <w:shd w:val="clear" w:color="auto" w:fill="D9D9D9" w:themeFill="background1" w:themeFillShade="D9"/>
          </w:tcPr>
          <w:p w:rsidR="00731084" w:rsidRDefault="00731084" w:rsidP="00F95264">
            <w:pPr>
              <w:rPr>
                <w:sz w:val="28"/>
                <w:szCs w:val="28"/>
              </w:rPr>
            </w:pPr>
            <w:r>
              <w:rPr>
                <w:sz w:val="28"/>
                <w:szCs w:val="28"/>
              </w:rPr>
              <w:t>Iii Wider strategies</w:t>
            </w:r>
          </w:p>
        </w:tc>
      </w:tr>
      <w:tr w:rsidR="00731084" w:rsidTr="001358DC">
        <w:tc>
          <w:tcPr>
            <w:tcW w:w="3964" w:type="dxa"/>
          </w:tcPr>
          <w:p w:rsidR="00731084" w:rsidRPr="001358DC" w:rsidRDefault="001358DC" w:rsidP="00F95264">
            <w:pPr>
              <w:rPr>
                <w:sz w:val="24"/>
                <w:szCs w:val="24"/>
              </w:rPr>
            </w:pPr>
            <w:r>
              <w:rPr>
                <w:sz w:val="24"/>
                <w:szCs w:val="24"/>
              </w:rPr>
              <w:t>Desired Outcome</w:t>
            </w:r>
          </w:p>
        </w:tc>
        <w:tc>
          <w:tcPr>
            <w:tcW w:w="5387" w:type="dxa"/>
          </w:tcPr>
          <w:p w:rsidR="00731084" w:rsidRPr="001358DC" w:rsidRDefault="001358DC" w:rsidP="00F95264">
            <w:pPr>
              <w:rPr>
                <w:sz w:val="24"/>
                <w:szCs w:val="24"/>
              </w:rPr>
            </w:pPr>
            <w:r>
              <w:rPr>
                <w:sz w:val="24"/>
                <w:szCs w:val="24"/>
              </w:rPr>
              <w:t>Chosen action/approach</w:t>
            </w:r>
          </w:p>
        </w:tc>
        <w:tc>
          <w:tcPr>
            <w:tcW w:w="3118" w:type="dxa"/>
          </w:tcPr>
          <w:p w:rsidR="00731084" w:rsidRPr="001358DC" w:rsidRDefault="001358DC" w:rsidP="00F95264">
            <w:pPr>
              <w:rPr>
                <w:sz w:val="24"/>
                <w:szCs w:val="24"/>
              </w:rPr>
            </w:pPr>
            <w:r>
              <w:rPr>
                <w:sz w:val="24"/>
                <w:szCs w:val="24"/>
              </w:rPr>
              <w:t>Impact once reviewed</w:t>
            </w:r>
          </w:p>
        </w:tc>
        <w:tc>
          <w:tcPr>
            <w:tcW w:w="1418" w:type="dxa"/>
          </w:tcPr>
          <w:p w:rsidR="00731084" w:rsidRPr="001358DC" w:rsidRDefault="001358DC" w:rsidP="00F95264">
            <w:pPr>
              <w:rPr>
                <w:sz w:val="24"/>
                <w:szCs w:val="24"/>
              </w:rPr>
            </w:pPr>
            <w:r>
              <w:rPr>
                <w:sz w:val="24"/>
                <w:szCs w:val="24"/>
              </w:rPr>
              <w:t>Staff lead</w:t>
            </w:r>
          </w:p>
        </w:tc>
        <w:tc>
          <w:tcPr>
            <w:tcW w:w="1501" w:type="dxa"/>
          </w:tcPr>
          <w:p w:rsidR="00731084" w:rsidRPr="001358DC" w:rsidRDefault="001358DC" w:rsidP="00F95264">
            <w:pPr>
              <w:rPr>
                <w:sz w:val="24"/>
                <w:szCs w:val="24"/>
              </w:rPr>
            </w:pPr>
            <w:r>
              <w:rPr>
                <w:sz w:val="24"/>
                <w:szCs w:val="24"/>
              </w:rPr>
              <w:t>Review date</w:t>
            </w:r>
          </w:p>
        </w:tc>
      </w:tr>
      <w:tr w:rsidR="001358DC" w:rsidTr="001358DC">
        <w:tc>
          <w:tcPr>
            <w:tcW w:w="3964" w:type="dxa"/>
          </w:tcPr>
          <w:p w:rsidR="001358DC" w:rsidRDefault="001358DC" w:rsidP="00F95264">
            <w:pPr>
              <w:rPr>
                <w:sz w:val="24"/>
                <w:szCs w:val="24"/>
                <w:u w:val="single"/>
              </w:rPr>
            </w:pPr>
            <w:r>
              <w:rPr>
                <w:sz w:val="24"/>
                <w:szCs w:val="24"/>
                <w:u w:val="single"/>
              </w:rPr>
              <w:t>Supporting Parents and carers</w:t>
            </w:r>
          </w:p>
          <w:p w:rsidR="001358DC" w:rsidRPr="001358DC" w:rsidRDefault="001358DC" w:rsidP="00F95264">
            <w:r>
              <w:t>Children will have greater opportunities to access learning at home which they will be able to access independently, reducing the necessity for parents to be supervising, making home learning more sustainable.</w:t>
            </w:r>
          </w:p>
        </w:tc>
        <w:tc>
          <w:tcPr>
            <w:tcW w:w="5387" w:type="dxa"/>
          </w:tcPr>
          <w:p w:rsidR="001358DC" w:rsidRDefault="001358DC" w:rsidP="00F95264">
            <w:pPr>
              <w:rPr>
                <w:sz w:val="24"/>
                <w:szCs w:val="24"/>
              </w:rPr>
            </w:pPr>
          </w:p>
          <w:p w:rsidR="001358DC" w:rsidRDefault="001358DC" w:rsidP="00F95264">
            <w:pPr>
              <w:rPr>
                <w:sz w:val="24"/>
                <w:szCs w:val="24"/>
              </w:rPr>
            </w:pPr>
            <w:r>
              <w:rPr>
                <w:sz w:val="24"/>
                <w:szCs w:val="24"/>
              </w:rPr>
              <w:t xml:space="preserve">Online learning resources will be purchased such as Spelling Shed, TT </w:t>
            </w:r>
            <w:proofErr w:type="spellStart"/>
            <w:proofErr w:type="gramStart"/>
            <w:r>
              <w:rPr>
                <w:sz w:val="24"/>
                <w:szCs w:val="24"/>
              </w:rPr>
              <w:t>Rockstars</w:t>
            </w:r>
            <w:proofErr w:type="spellEnd"/>
            <w:r>
              <w:rPr>
                <w:sz w:val="24"/>
                <w:szCs w:val="24"/>
              </w:rPr>
              <w:t xml:space="preserve"> ,</w:t>
            </w:r>
            <w:proofErr w:type="gramEnd"/>
            <w:r>
              <w:rPr>
                <w:sz w:val="24"/>
                <w:szCs w:val="24"/>
              </w:rPr>
              <w:t xml:space="preserve"> so that children can practise basic skills at home at an appropriate level. </w:t>
            </w:r>
          </w:p>
          <w:p w:rsidR="001358DC" w:rsidRDefault="001358DC" w:rsidP="00F95264">
            <w:pPr>
              <w:rPr>
                <w:sz w:val="24"/>
                <w:szCs w:val="24"/>
              </w:rPr>
            </w:pPr>
          </w:p>
          <w:p w:rsidR="001358DC" w:rsidRDefault="001358DC" w:rsidP="00F95264">
            <w:pPr>
              <w:rPr>
                <w:sz w:val="24"/>
                <w:szCs w:val="24"/>
              </w:rPr>
            </w:pPr>
          </w:p>
          <w:p w:rsidR="001358DC" w:rsidRPr="001358DC" w:rsidRDefault="001358DC" w:rsidP="00F95264">
            <w:pPr>
              <w:rPr>
                <w:sz w:val="24"/>
                <w:szCs w:val="24"/>
              </w:rPr>
            </w:pPr>
            <w:r w:rsidRPr="001358DC">
              <w:rPr>
                <w:color w:val="FF0000"/>
                <w:sz w:val="24"/>
                <w:szCs w:val="24"/>
              </w:rPr>
              <w:t xml:space="preserve">                                                                        Cost £500</w:t>
            </w:r>
          </w:p>
        </w:tc>
        <w:tc>
          <w:tcPr>
            <w:tcW w:w="3118" w:type="dxa"/>
          </w:tcPr>
          <w:p w:rsidR="001358DC" w:rsidRPr="001358DC" w:rsidRDefault="001358DC" w:rsidP="00F95264">
            <w:pPr>
              <w:rPr>
                <w:sz w:val="24"/>
                <w:szCs w:val="24"/>
              </w:rPr>
            </w:pPr>
          </w:p>
        </w:tc>
        <w:tc>
          <w:tcPr>
            <w:tcW w:w="1418" w:type="dxa"/>
          </w:tcPr>
          <w:p w:rsidR="001358DC" w:rsidRDefault="001358DC" w:rsidP="00F95264">
            <w:pPr>
              <w:rPr>
                <w:sz w:val="24"/>
                <w:szCs w:val="24"/>
              </w:rPr>
            </w:pPr>
          </w:p>
          <w:p w:rsidR="001358DC" w:rsidRPr="001358DC" w:rsidRDefault="001358DC" w:rsidP="00F95264">
            <w:pPr>
              <w:rPr>
                <w:sz w:val="24"/>
                <w:szCs w:val="24"/>
              </w:rPr>
            </w:pPr>
            <w:r>
              <w:rPr>
                <w:sz w:val="24"/>
                <w:szCs w:val="24"/>
              </w:rPr>
              <w:t>Teaching Staff</w:t>
            </w:r>
          </w:p>
        </w:tc>
        <w:tc>
          <w:tcPr>
            <w:tcW w:w="1501" w:type="dxa"/>
          </w:tcPr>
          <w:p w:rsidR="001358DC" w:rsidRDefault="001358DC" w:rsidP="00F95264">
            <w:pPr>
              <w:rPr>
                <w:sz w:val="24"/>
                <w:szCs w:val="24"/>
              </w:rPr>
            </w:pPr>
          </w:p>
          <w:p w:rsidR="001358DC" w:rsidRPr="001358DC" w:rsidRDefault="001358DC" w:rsidP="00F95264">
            <w:pPr>
              <w:rPr>
                <w:sz w:val="24"/>
                <w:szCs w:val="24"/>
              </w:rPr>
            </w:pPr>
            <w:r>
              <w:rPr>
                <w:sz w:val="24"/>
                <w:szCs w:val="24"/>
              </w:rPr>
              <w:t>On-going</w:t>
            </w:r>
          </w:p>
        </w:tc>
      </w:tr>
      <w:tr w:rsidR="001358DC" w:rsidTr="001358DC">
        <w:tc>
          <w:tcPr>
            <w:tcW w:w="3964" w:type="dxa"/>
          </w:tcPr>
          <w:p w:rsidR="001358DC" w:rsidRDefault="00862374" w:rsidP="00F95264">
            <w:pPr>
              <w:rPr>
                <w:sz w:val="24"/>
                <w:szCs w:val="24"/>
                <w:u w:val="single"/>
              </w:rPr>
            </w:pPr>
            <w:r>
              <w:rPr>
                <w:sz w:val="24"/>
                <w:szCs w:val="24"/>
                <w:u w:val="single"/>
              </w:rPr>
              <w:t>Access to technology</w:t>
            </w:r>
          </w:p>
          <w:p w:rsidR="00862374" w:rsidRPr="00862374" w:rsidRDefault="00862374" w:rsidP="00862374">
            <w:r>
              <w:t xml:space="preserve">Children </w:t>
            </w:r>
            <w:r w:rsidRPr="00862374">
              <w:t xml:space="preserve">can access devices to enable </w:t>
            </w:r>
            <w:r>
              <w:t xml:space="preserve">in-class interventions to be carried out at the required times. This should enable </w:t>
            </w:r>
            <w:r>
              <w:lastRenderedPageBreak/>
              <w:t>them to access lessons and support as and when needed and allow the classes the flexibility they need.</w:t>
            </w:r>
          </w:p>
        </w:tc>
        <w:tc>
          <w:tcPr>
            <w:tcW w:w="5387" w:type="dxa"/>
          </w:tcPr>
          <w:p w:rsidR="001358DC" w:rsidRDefault="001358DC" w:rsidP="00F95264">
            <w:pPr>
              <w:rPr>
                <w:sz w:val="24"/>
                <w:szCs w:val="24"/>
              </w:rPr>
            </w:pPr>
          </w:p>
          <w:p w:rsidR="00862374" w:rsidRDefault="00862374" w:rsidP="00F95264">
            <w:pPr>
              <w:rPr>
                <w:sz w:val="24"/>
                <w:szCs w:val="24"/>
              </w:rPr>
            </w:pPr>
            <w:r>
              <w:rPr>
                <w:sz w:val="24"/>
                <w:szCs w:val="24"/>
              </w:rPr>
              <w:t>Devices will be purchased for each class so that appropriate interventions may be carried out by the staff during the school day.</w:t>
            </w:r>
          </w:p>
          <w:p w:rsidR="00862374" w:rsidRDefault="00F66815" w:rsidP="00F95264">
            <w:pPr>
              <w:rPr>
                <w:sz w:val="24"/>
                <w:szCs w:val="24"/>
              </w:rPr>
            </w:pPr>
            <w:r>
              <w:rPr>
                <w:sz w:val="24"/>
                <w:szCs w:val="24"/>
              </w:rPr>
              <w:lastRenderedPageBreak/>
              <w:t>10 kindle fires  + case + earphones</w:t>
            </w:r>
          </w:p>
          <w:p w:rsidR="00862374" w:rsidRDefault="00862374" w:rsidP="00F95264">
            <w:pPr>
              <w:rPr>
                <w:sz w:val="24"/>
                <w:szCs w:val="24"/>
              </w:rPr>
            </w:pPr>
          </w:p>
          <w:p w:rsidR="00862374" w:rsidRPr="00862374" w:rsidRDefault="00862374" w:rsidP="00F95264">
            <w:pPr>
              <w:rPr>
                <w:color w:val="FF0000"/>
                <w:sz w:val="24"/>
                <w:szCs w:val="24"/>
              </w:rPr>
            </w:pPr>
            <w:r>
              <w:rPr>
                <w:sz w:val="24"/>
                <w:szCs w:val="24"/>
              </w:rPr>
              <w:t xml:space="preserve">                                                                          </w:t>
            </w:r>
            <w:r>
              <w:rPr>
                <w:color w:val="FF0000"/>
                <w:sz w:val="24"/>
                <w:szCs w:val="24"/>
              </w:rPr>
              <w:t>Cost £</w:t>
            </w:r>
            <w:r w:rsidR="00F66815">
              <w:rPr>
                <w:color w:val="FF0000"/>
                <w:sz w:val="24"/>
                <w:szCs w:val="24"/>
              </w:rPr>
              <w:t>650</w:t>
            </w:r>
          </w:p>
        </w:tc>
        <w:tc>
          <w:tcPr>
            <w:tcW w:w="3118" w:type="dxa"/>
          </w:tcPr>
          <w:p w:rsidR="001358DC" w:rsidRPr="001358DC" w:rsidRDefault="001358DC" w:rsidP="00F95264">
            <w:pPr>
              <w:rPr>
                <w:sz w:val="24"/>
                <w:szCs w:val="24"/>
              </w:rPr>
            </w:pPr>
          </w:p>
        </w:tc>
        <w:tc>
          <w:tcPr>
            <w:tcW w:w="1418" w:type="dxa"/>
          </w:tcPr>
          <w:p w:rsidR="001358DC" w:rsidRDefault="001358DC" w:rsidP="00F95264">
            <w:pPr>
              <w:rPr>
                <w:sz w:val="24"/>
                <w:szCs w:val="24"/>
              </w:rPr>
            </w:pPr>
          </w:p>
          <w:p w:rsidR="00F66815" w:rsidRPr="001358DC" w:rsidRDefault="00F66815" w:rsidP="00F95264">
            <w:pPr>
              <w:rPr>
                <w:sz w:val="24"/>
                <w:szCs w:val="24"/>
              </w:rPr>
            </w:pPr>
            <w:r>
              <w:rPr>
                <w:sz w:val="24"/>
                <w:szCs w:val="24"/>
              </w:rPr>
              <w:t>JD/KW</w:t>
            </w:r>
          </w:p>
        </w:tc>
        <w:tc>
          <w:tcPr>
            <w:tcW w:w="1501" w:type="dxa"/>
          </w:tcPr>
          <w:p w:rsidR="001358DC" w:rsidRDefault="001358DC" w:rsidP="00F95264">
            <w:pPr>
              <w:rPr>
                <w:sz w:val="24"/>
                <w:szCs w:val="24"/>
              </w:rPr>
            </w:pPr>
          </w:p>
          <w:p w:rsidR="00F66815" w:rsidRPr="001358DC" w:rsidRDefault="00F66815" w:rsidP="00F95264">
            <w:pPr>
              <w:rPr>
                <w:sz w:val="24"/>
                <w:szCs w:val="24"/>
              </w:rPr>
            </w:pPr>
            <w:r>
              <w:rPr>
                <w:sz w:val="24"/>
                <w:szCs w:val="24"/>
              </w:rPr>
              <w:t>On-going</w:t>
            </w:r>
          </w:p>
        </w:tc>
      </w:tr>
      <w:tr w:rsidR="00F66815" w:rsidTr="007E0600">
        <w:tc>
          <w:tcPr>
            <w:tcW w:w="13887" w:type="dxa"/>
            <w:gridSpan w:val="4"/>
          </w:tcPr>
          <w:p w:rsidR="00F66815" w:rsidRPr="00F66815" w:rsidRDefault="00F66815" w:rsidP="00F95264">
            <w:pPr>
              <w:rPr>
                <w:sz w:val="28"/>
                <w:szCs w:val="28"/>
              </w:rPr>
            </w:pPr>
            <w:r>
              <w:rPr>
                <w:sz w:val="28"/>
                <w:szCs w:val="28"/>
              </w:rPr>
              <w:t xml:space="preserve">                                                                                                                                                                               Total budgeted cost</w:t>
            </w:r>
          </w:p>
        </w:tc>
        <w:tc>
          <w:tcPr>
            <w:tcW w:w="1501" w:type="dxa"/>
          </w:tcPr>
          <w:p w:rsidR="00F66815" w:rsidRPr="00F66815" w:rsidRDefault="00F66815" w:rsidP="00F95264">
            <w:pPr>
              <w:rPr>
                <w:color w:val="FF0000"/>
                <w:sz w:val="28"/>
                <w:szCs w:val="28"/>
              </w:rPr>
            </w:pPr>
            <w:r>
              <w:rPr>
                <w:color w:val="FF0000"/>
                <w:sz w:val="28"/>
                <w:szCs w:val="28"/>
              </w:rPr>
              <w:t>£</w:t>
            </w:r>
          </w:p>
        </w:tc>
      </w:tr>
    </w:tbl>
    <w:p w:rsidR="00731084" w:rsidRDefault="00731084" w:rsidP="00F95264">
      <w:pPr>
        <w:rPr>
          <w:sz w:val="28"/>
          <w:szCs w:val="28"/>
        </w:rPr>
      </w:pPr>
    </w:p>
    <w:tbl>
      <w:tblPr>
        <w:tblStyle w:val="TableGrid"/>
        <w:tblW w:w="0" w:type="auto"/>
        <w:tblLook w:val="04A0" w:firstRow="1" w:lastRow="0" w:firstColumn="1" w:lastColumn="0" w:noHBand="0" w:noVBand="1"/>
      </w:tblPr>
      <w:tblGrid>
        <w:gridCol w:w="12186"/>
        <w:gridCol w:w="3202"/>
      </w:tblGrid>
      <w:tr w:rsidR="00F66815" w:rsidTr="00F66815">
        <w:tc>
          <w:tcPr>
            <w:tcW w:w="12186" w:type="dxa"/>
          </w:tcPr>
          <w:p w:rsidR="00F66815" w:rsidRDefault="00F66815" w:rsidP="00F95264">
            <w:pPr>
              <w:rPr>
                <w:sz w:val="28"/>
                <w:szCs w:val="28"/>
              </w:rPr>
            </w:pPr>
            <w:r>
              <w:rPr>
                <w:sz w:val="28"/>
                <w:szCs w:val="28"/>
              </w:rPr>
              <w:t xml:space="preserve">                                                                                                                     Teaching and Whole School strategies</w:t>
            </w:r>
          </w:p>
        </w:tc>
        <w:tc>
          <w:tcPr>
            <w:tcW w:w="3202" w:type="dxa"/>
          </w:tcPr>
          <w:p w:rsidR="00F66815" w:rsidRPr="00F66815" w:rsidRDefault="00F66815" w:rsidP="00F95264">
            <w:pPr>
              <w:rPr>
                <w:color w:val="FF0000"/>
                <w:sz w:val="28"/>
                <w:szCs w:val="28"/>
              </w:rPr>
            </w:pPr>
            <w:r>
              <w:rPr>
                <w:color w:val="FF0000"/>
                <w:sz w:val="28"/>
                <w:szCs w:val="28"/>
              </w:rPr>
              <w:t xml:space="preserve">                                 £981</w:t>
            </w:r>
          </w:p>
        </w:tc>
      </w:tr>
      <w:tr w:rsidR="00F66815" w:rsidTr="00F66815">
        <w:tc>
          <w:tcPr>
            <w:tcW w:w="12186" w:type="dxa"/>
          </w:tcPr>
          <w:p w:rsidR="00F66815" w:rsidRDefault="00F66815" w:rsidP="00F95264">
            <w:pPr>
              <w:rPr>
                <w:sz w:val="28"/>
                <w:szCs w:val="28"/>
              </w:rPr>
            </w:pPr>
            <w:r>
              <w:rPr>
                <w:sz w:val="28"/>
                <w:szCs w:val="28"/>
              </w:rPr>
              <w:t xml:space="preserve">                                                                                                                                                   Targeted approaches</w:t>
            </w:r>
          </w:p>
        </w:tc>
        <w:tc>
          <w:tcPr>
            <w:tcW w:w="3202" w:type="dxa"/>
          </w:tcPr>
          <w:p w:rsidR="00F66815" w:rsidRPr="00F66815" w:rsidRDefault="00F66815" w:rsidP="00F95264">
            <w:pPr>
              <w:rPr>
                <w:color w:val="FF0000"/>
                <w:sz w:val="28"/>
                <w:szCs w:val="28"/>
              </w:rPr>
            </w:pPr>
            <w:r>
              <w:rPr>
                <w:color w:val="FF0000"/>
                <w:sz w:val="28"/>
                <w:szCs w:val="28"/>
              </w:rPr>
              <w:t xml:space="preserve">                            </w:t>
            </w:r>
            <w:r w:rsidRPr="00F66815">
              <w:rPr>
                <w:color w:val="FF0000"/>
                <w:sz w:val="28"/>
                <w:szCs w:val="28"/>
              </w:rPr>
              <w:t>£14,380</w:t>
            </w:r>
          </w:p>
        </w:tc>
      </w:tr>
      <w:tr w:rsidR="00F66815" w:rsidTr="00F66815">
        <w:tc>
          <w:tcPr>
            <w:tcW w:w="12186" w:type="dxa"/>
          </w:tcPr>
          <w:p w:rsidR="00F66815" w:rsidRDefault="00F66815" w:rsidP="00F95264">
            <w:pPr>
              <w:rPr>
                <w:sz w:val="28"/>
                <w:szCs w:val="28"/>
              </w:rPr>
            </w:pPr>
            <w:r>
              <w:rPr>
                <w:sz w:val="28"/>
                <w:szCs w:val="28"/>
              </w:rPr>
              <w:t xml:space="preserve">                                                                                                                                                           Wider Strategies</w:t>
            </w:r>
          </w:p>
        </w:tc>
        <w:tc>
          <w:tcPr>
            <w:tcW w:w="3202" w:type="dxa"/>
          </w:tcPr>
          <w:p w:rsidR="00F66815" w:rsidRPr="00F66815" w:rsidRDefault="00F66815" w:rsidP="00F95264">
            <w:pPr>
              <w:rPr>
                <w:color w:val="FF0000"/>
                <w:sz w:val="28"/>
                <w:szCs w:val="28"/>
              </w:rPr>
            </w:pPr>
            <w:r>
              <w:rPr>
                <w:color w:val="FF0000"/>
                <w:sz w:val="28"/>
                <w:szCs w:val="28"/>
              </w:rPr>
              <w:t xml:space="preserve">                               £1150</w:t>
            </w:r>
          </w:p>
        </w:tc>
      </w:tr>
      <w:tr w:rsidR="00F66815" w:rsidTr="00F66815">
        <w:tc>
          <w:tcPr>
            <w:tcW w:w="12186" w:type="dxa"/>
          </w:tcPr>
          <w:p w:rsidR="00F66815" w:rsidRDefault="00F66815" w:rsidP="00F95264">
            <w:pPr>
              <w:rPr>
                <w:sz w:val="28"/>
                <w:szCs w:val="28"/>
              </w:rPr>
            </w:pPr>
            <w:r>
              <w:rPr>
                <w:sz w:val="28"/>
                <w:szCs w:val="28"/>
              </w:rPr>
              <w:t xml:space="preserve">                                                                                                                                              TOTAL BUDGETED COST</w:t>
            </w:r>
          </w:p>
        </w:tc>
        <w:tc>
          <w:tcPr>
            <w:tcW w:w="3202" w:type="dxa"/>
          </w:tcPr>
          <w:p w:rsidR="00F66815" w:rsidRPr="00F51BDA" w:rsidRDefault="00F51BDA" w:rsidP="00F95264">
            <w:pPr>
              <w:rPr>
                <w:color w:val="00B050"/>
                <w:sz w:val="28"/>
                <w:szCs w:val="28"/>
              </w:rPr>
            </w:pPr>
            <w:r>
              <w:rPr>
                <w:color w:val="00B050"/>
                <w:sz w:val="28"/>
                <w:szCs w:val="28"/>
              </w:rPr>
              <w:t xml:space="preserve">                            </w:t>
            </w:r>
            <w:bookmarkStart w:id="0" w:name="_GoBack"/>
            <w:bookmarkEnd w:id="0"/>
            <w:r>
              <w:rPr>
                <w:color w:val="00B050"/>
                <w:sz w:val="28"/>
                <w:szCs w:val="28"/>
              </w:rPr>
              <w:t>£16,511</w:t>
            </w:r>
          </w:p>
        </w:tc>
      </w:tr>
    </w:tbl>
    <w:p w:rsidR="00731084" w:rsidRDefault="00731084" w:rsidP="00F95264">
      <w:pPr>
        <w:rPr>
          <w:sz w:val="28"/>
          <w:szCs w:val="28"/>
        </w:rPr>
      </w:pPr>
    </w:p>
    <w:sectPr w:rsidR="00731084" w:rsidSect="00F952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C76"/>
    <w:multiLevelType w:val="hybridMultilevel"/>
    <w:tmpl w:val="3BA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A5569"/>
    <w:multiLevelType w:val="hybridMultilevel"/>
    <w:tmpl w:val="DD3C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57FFB"/>
    <w:multiLevelType w:val="hybridMultilevel"/>
    <w:tmpl w:val="B37C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64"/>
    <w:rsid w:val="00082F2E"/>
    <w:rsid w:val="000C0D77"/>
    <w:rsid w:val="001358DC"/>
    <w:rsid w:val="0025148B"/>
    <w:rsid w:val="004411B8"/>
    <w:rsid w:val="00511A65"/>
    <w:rsid w:val="0059460C"/>
    <w:rsid w:val="005F6037"/>
    <w:rsid w:val="0063164C"/>
    <w:rsid w:val="006568A9"/>
    <w:rsid w:val="00660433"/>
    <w:rsid w:val="006F48B5"/>
    <w:rsid w:val="00731084"/>
    <w:rsid w:val="00862374"/>
    <w:rsid w:val="008654D2"/>
    <w:rsid w:val="00A438D2"/>
    <w:rsid w:val="00BF173B"/>
    <w:rsid w:val="00D8360B"/>
    <w:rsid w:val="00E439C4"/>
    <w:rsid w:val="00F51BDA"/>
    <w:rsid w:val="00F66815"/>
    <w:rsid w:val="00F9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1905"/>
  <w15:chartTrackingRefBased/>
  <w15:docId w15:val="{BD0E5180-906F-45E1-87DF-ADD34B45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Upton - Head</dc:creator>
  <cp:keywords/>
  <dc:description/>
  <cp:lastModifiedBy>All Saints Upton - Head</cp:lastModifiedBy>
  <cp:revision>2</cp:revision>
  <dcterms:created xsi:type="dcterms:W3CDTF">2020-11-16T13:51:00Z</dcterms:created>
  <dcterms:modified xsi:type="dcterms:W3CDTF">2020-11-16T13:51:00Z</dcterms:modified>
</cp:coreProperties>
</file>