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2" w:rsidRPr="00A825F7" w:rsidRDefault="00A825F7" w:rsidP="00A825F7">
      <w:pPr>
        <w:jc w:val="center"/>
        <w:rPr>
          <w:b/>
          <w:sz w:val="28"/>
          <w:szCs w:val="28"/>
        </w:rPr>
      </w:pPr>
      <w:r w:rsidRPr="00A825F7">
        <w:rPr>
          <w:b/>
          <w:sz w:val="28"/>
          <w:szCs w:val="28"/>
        </w:rPr>
        <w:t>EYFS White Rose Maths and Mastering Number Long Term Overview</w:t>
      </w:r>
      <w:bookmarkStart w:id="0" w:name="_GoBack"/>
      <w:bookmarkEnd w:id="0"/>
    </w:p>
    <w:p w:rsidR="00A825F7" w:rsidRDefault="00A825F7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44"/>
        <w:gridCol w:w="2169"/>
        <w:gridCol w:w="2169"/>
        <w:gridCol w:w="2165"/>
        <w:gridCol w:w="2168"/>
        <w:gridCol w:w="2168"/>
        <w:gridCol w:w="2168"/>
      </w:tblGrid>
      <w:tr w:rsidR="00A825F7" w:rsidRPr="00AC5B44" w:rsidTr="00A825F7">
        <w:trPr>
          <w:trHeight w:val="364"/>
        </w:trPr>
        <w:tc>
          <w:tcPr>
            <w:tcW w:w="2260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</w:p>
        </w:tc>
        <w:tc>
          <w:tcPr>
            <w:tcW w:w="2179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AUT 1</w:t>
            </w:r>
          </w:p>
        </w:tc>
        <w:tc>
          <w:tcPr>
            <w:tcW w:w="2179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AUT 2</w:t>
            </w:r>
          </w:p>
        </w:tc>
        <w:tc>
          <w:tcPr>
            <w:tcW w:w="2178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SPR 1</w:t>
            </w:r>
          </w:p>
        </w:tc>
        <w:tc>
          <w:tcPr>
            <w:tcW w:w="2179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SPR 2</w:t>
            </w:r>
          </w:p>
        </w:tc>
        <w:tc>
          <w:tcPr>
            <w:tcW w:w="2179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SUM 1</w:t>
            </w:r>
          </w:p>
        </w:tc>
        <w:tc>
          <w:tcPr>
            <w:tcW w:w="2179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SUM 2</w:t>
            </w:r>
          </w:p>
        </w:tc>
      </w:tr>
      <w:tr w:rsidR="00A825F7" w:rsidRPr="00AC5B44" w:rsidTr="00AF5AA6">
        <w:trPr>
          <w:trHeight w:val="1810"/>
        </w:trPr>
        <w:tc>
          <w:tcPr>
            <w:tcW w:w="2260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 w:rsidRPr="00AC5B44">
              <w:rPr>
                <w:rFonts w:asciiTheme="majorHAnsi" w:hAnsiTheme="majorHAnsi" w:cstheme="majorHAnsi"/>
                <w:sz w:val="32"/>
                <w:szCs w:val="28"/>
              </w:rPr>
              <w:t xml:space="preserve">Maths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 w:val="24"/>
                <w:szCs w:val="28"/>
              </w:rPr>
            </w:pPr>
            <w:r w:rsidRPr="00AC5B44">
              <w:rPr>
                <w:rFonts w:asciiTheme="majorHAnsi" w:hAnsiTheme="majorHAnsi" w:cstheme="majorHAnsi"/>
                <w:sz w:val="24"/>
                <w:szCs w:val="28"/>
              </w:rPr>
              <w:t>White Rose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(Shape, space and measure aspects only)</w:t>
            </w: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Just like me!</w:t>
            </w:r>
            <w:r w:rsidRPr="00AC5B44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Compare size, mass and capacity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Exploring pattern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It’s me 1, 2, 3!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Geometry and spatial thinking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Light and Dark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Measurement- Time </w:t>
            </w:r>
          </w:p>
          <w:p w:rsidR="00A825F7" w:rsidRPr="00AC5B44" w:rsidRDefault="00A825F7" w:rsidP="00AF5AA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0"/>
              </w:rPr>
            </w:pPr>
          </w:p>
          <w:p w:rsidR="00A825F7" w:rsidRPr="00AC5B44" w:rsidRDefault="00A825F7" w:rsidP="00AF5AA6">
            <w:pPr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  <w:tc>
          <w:tcPr>
            <w:tcW w:w="2178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Alive in 5!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Comparing mass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Comparing capacity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Growing 6, 7, 8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Length and height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Time </w:t>
            </w:r>
          </w:p>
          <w:p w:rsidR="00A825F7" w:rsidRPr="00AC5B44" w:rsidRDefault="00A825F7" w:rsidP="00AF5AA6">
            <w:pPr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 xml:space="preserve">Building 9 and 10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3D shape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Pattern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Consolidation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To 20 and Beyond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Spatial reasoning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>First Then Now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Spatial reasoning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 xml:space="preserve">Find my Pattern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Spatial reasoning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AC5B44">
              <w:rPr>
                <w:rFonts w:asciiTheme="majorHAnsi" w:hAnsiTheme="majorHAnsi" w:cstheme="majorHAnsi"/>
                <w:b/>
                <w:szCs w:val="20"/>
              </w:rPr>
              <w:t xml:space="preserve">On the Move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Consolidati</w:t>
            </w:r>
            <w:r>
              <w:rPr>
                <w:rFonts w:asciiTheme="majorHAnsi" w:hAnsiTheme="majorHAnsi" w:cstheme="majorHAnsi"/>
                <w:szCs w:val="20"/>
              </w:rPr>
              <w:t>on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Patterns and relationships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Spatial reasoning </w:t>
            </w:r>
          </w:p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  <w:tr w:rsidR="00A825F7" w:rsidRPr="00EF1B3B" w:rsidTr="00AF5AA6">
        <w:trPr>
          <w:trHeight w:val="1810"/>
        </w:trPr>
        <w:tc>
          <w:tcPr>
            <w:tcW w:w="2260" w:type="dxa"/>
            <w:shd w:val="clear" w:color="auto" w:fill="FFC000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 w:val="32"/>
                <w:szCs w:val="28"/>
              </w:rPr>
            </w:pPr>
            <w:r w:rsidRPr="00AC5B44">
              <w:rPr>
                <w:rFonts w:asciiTheme="majorHAnsi" w:hAnsiTheme="majorHAnsi" w:cstheme="majorHAnsi"/>
                <w:sz w:val="24"/>
                <w:szCs w:val="28"/>
              </w:rPr>
              <w:t>Mastering Number</w:t>
            </w: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AC5B44">
              <w:rPr>
                <w:rFonts w:asciiTheme="majorHAnsi" w:hAnsiTheme="majorHAnsi" w:cstheme="majorHAnsi"/>
                <w:szCs w:val="20"/>
              </w:rPr>
              <w:t>Subitising</w:t>
            </w:r>
            <w:proofErr w:type="spellEnd"/>
            <w:r w:rsidRPr="00AC5B44">
              <w:rPr>
                <w:rFonts w:asciiTheme="majorHAnsi" w:hAnsiTheme="majorHAnsi" w:cstheme="majorHAnsi"/>
                <w:szCs w:val="20"/>
              </w:rPr>
              <w:t xml:space="preserve"> to 3, identifying sub-groups in larger arrangements. Using fingers to represent quantities. Singing counting rhymes and songs. Counting actions and sounds. Comparing sets using language of ‘more’ and ‘fewer’. </w:t>
            </w: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AC5B44">
              <w:rPr>
                <w:rFonts w:asciiTheme="majorHAnsi" w:hAnsiTheme="majorHAnsi" w:cstheme="majorHAnsi"/>
                <w:szCs w:val="20"/>
              </w:rPr>
              <w:t>Subitising</w:t>
            </w:r>
            <w:proofErr w:type="spellEnd"/>
            <w:r w:rsidRPr="00AC5B44">
              <w:rPr>
                <w:rFonts w:asciiTheme="majorHAnsi" w:hAnsiTheme="majorHAnsi" w:cstheme="majorHAnsi"/>
                <w:szCs w:val="20"/>
              </w:rPr>
              <w:t xml:space="preserve"> within 5. Continue to develop counting skills. Begin to count beyond 5. Explore concept of ‘wholes’ and ‘parts.’ Explore composition of numbers within 5. Compare sets by matching equal amounts. </w:t>
            </w:r>
          </w:p>
        </w:tc>
        <w:tc>
          <w:tcPr>
            <w:tcW w:w="2178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 xml:space="preserve">Increase confidence in </w:t>
            </w:r>
            <w:proofErr w:type="spellStart"/>
            <w:r w:rsidRPr="00AC5B44">
              <w:rPr>
                <w:rFonts w:asciiTheme="majorHAnsi" w:hAnsiTheme="majorHAnsi" w:cstheme="majorHAnsi"/>
                <w:szCs w:val="20"/>
              </w:rPr>
              <w:t>subitising</w:t>
            </w:r>
            <w:proofErr w:type="spellEnd"/>
            <w:r w:rsidRPr="00AC5B44">
              <w:rPr>
                <w:rFonts w:asciiTheme="majorHAnsi" w:hAnsiTheme="majorHAnsi" w:cstheme="majorHAnsi"/>
                <w:szCs w:val="20"/>
              </w:rPr>
              <w:t xml:space="preserve"> to 5. Develop verbally counting to 20 and beyond. Continue to develop object counting skills. Use fingers to represent quantities between 5 and 10. Explore the composition of 5 and 6. Continue to compare sets by matching and explore ways of making unequal sets equal. </w:t>
            </w: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C5B44">
              <w:rPr>
                <w:rFonts w:asciiTheme="majorHAnsi" w:hAnsiTheme="majorHAnsi" w:cstheme="majorHAnsi"/>
                <w:szCs w:val="20"/>
              </w:rPr>
              <w:t>Explore symmetrical patterns, linking to doubles. Become more familiar with the counting pattern beyond 20. Explore odd and even numbers, linking even num</w:t>
            </w:r>
            <w:r>
              <w:rPr>
                <w:rFonts w:asciiTheme="majorHAnsi" w:hAnsiTheme="majorHAnsi" w:cstheme="majorHAnsi"/>
                <w:szCs w:val="20"/>
              </w:rPr>
              <w:t>b</w:t>
            </w:r>
            <w:r w:rsidRPr="00AC5B44">
              <w:rPr>
                <w:rFonts w:asciiTheme="majorHAnsi" w:hAnsiTheme="majorHAnsi" w:cstheme="majorHAnsi"/>
                <w:szCs w:val="20"/>
              </w:rPr>
              <w:t xml:space="preserve">ers to doubles. Explore composition of numbers within 10. Compare numbers using knowledge of its place in the number system. </w:t>
            </w:r>
          </w:p>
        </w:tc>
        <w:tc>
          <w:tcPr>
            <w:tcW w:w="2179" w:type="dxa"/>
          </w:tcPr>
          <w:p w:rsidR="00A825F7" w:rsidRPr="00AC5B44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AC5B44">
              <w:rPr>
                <w:rFonts w:asciiTheme="majorHAnsi" w:hAnsiTheme="majorHAnsi" w:cstheme="majorHAnsi"/>
                <w:szCs w:val="20"/>
              </w:rPr>
              <w:t>Subitising</w:t>
            </w:r>
            <w:proofErr w:type="spellEnd"/>
            <w:r w:rsidRPr="00AC5B44">
              <w:rPr>
                <w:rFonts w:asciiTheme="majorHAnsi" w:hAnsiTheme="majorHAnsi" w:cstheme="majorHAnsi"/>
                <w:szCs w:val="20"/>
              </w:rPr>
              <w:t xml:space="preserve"> arrangements within 10 which show 1 more or doubles. Develop verbal counting to 20 and beyond, including starting from different numbers. Explore composition of 10. Order sets of objects. </w:t>
            </w:r>
          </w:p>
        </w:tc>
        <w:tc>
          <w:tcPr>
            <w:tcW w:w="2179" w:type="dxa"/>
          </w:tcPr>
          <w:p w:rsidR="00A825F7" w:rsidRPr="00EF1B3B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Cs w:val="20"/>
              </w:rPr>
              <w:t>Subitising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on a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rekenrek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. </w:t>
            </w:r>
          </w:p>
          <w:p w:rsidR="00A825F7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:rsidR="00A825F7" w:rsidRPr="00EF1B3B" w:rsidRDefault="00A825F7" w:rsidP="00AF5AA6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EF1B3B">
              <w:rPr>
                <w:rFonts w:asciiTheme="majorHAnsi" w:hAnsiTheme="majorHAnsi" w:cstheme="majorHAnsi"/>
                <w:b/>
                <w:szCs w:val="20"/>
              </w:rPr>
              <w:t xml:space="preserve">Consolidation </w:t>
            </w:r>
          </w:p>
          <w:p w:rsidR="00A825F7" w:rsidRPr="00EF1B3B" w:rsidRDefault="00A825F7" w:rsidP="00AF5AA6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EF1B3B">
              <w:rPr>
                <w:rFonts w:asciiTheme="majorHAnsi" w:hAnsiTheme="majorHAnsi" w:cstheme="majorHAnsi"/>
                <w:b/>
              </w:rPr>
              <w:t xml:space="preserve"> </w:t>
            </w:r>
            <w:r w:rsidRPr="00EF1B3B">
              <w:rPr>
                <w:rFonts w:asciiTheme="majorHAnsi" w:hAnsiTheme="majorHAnsi" w:cstheme="majorHAnsi"/>
              </w:rPr>
              <w:t>(Comparison, Counting, Composition, Patterns, Recall)</w:t>
            </w:r>
          </w:p>
        </w:tc>
      </w:tr>
    </w:tbl>
    <w:p w:rsidR="00A825F7" w:rsidRDefault="00A825F7"/>
    <w:sectPr w:rsidR="00A825F7" w:rsidSect="00A82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F7"/>
    <w:rsid w:val="00943BA2"/>
    <w:rsid w:val="00A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7A8E"/>
  <w15:chartTrackingRefBased/>
  <w15:docId w15:val="{1B56A5E6-EFA8-43A2-A3F7-ACEA2EC2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5F7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2023-06-26T12:36:00Z</dcterms:created>
  <dcterms:modified xsi:type="dcterms:W3CDTF">2023-06-26T12:40:00Z</dcterms:modified>
</cp:coreProperties>
</file>